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08F" w:rsidRPr="005766F5" w:rsidRDefault="0061508F" w:rsidP="0061508F">
      <w:pPr>
        <w:ind w:firstLine="709"/>
        <w:jc w:val="right"/>
        <w:rPr>
          <w:rFonts w:eastAsiaTheme="minorHAnsi"/>
          <w:szCs w:val="24"/>
          <w:lang w:eastAsia="en-US"/>
        </w:rPr>
      </w:pPr>
      <w:r w:rsidRPr="00DF5540">
        <w:rPr>
          <w:b/>
          <w:szCs w:val="24"/>
        </w:rPr>
        <w:t xml:space="preserve">Приложение № </w:t>
      </w:r>
      <w:r>
        <w:rPr>
          <w:b/>
          <w:szCs w:val="24"/>
        </w:rPr>
        <w:t xml:space="preserve">6 </w:t>
      </w:r>
      <w:r w:rsidRPr="005766F5">
        <w:rPr>
          <w:rFonts w:eastAsiaTheme="minorHAnsi"/>
          <w:szCs w:val="24"/>
          <w:lang w:eastAsia="en-US"/>
        </w:rPr>
        <w:t xml:space="preserve">к </w:t>
      </w:r>
      <w:r>
        <w:rPr>
          <w:rFonts w:eastAsiaTheme="minorHAnsi"/>
          <w:szCs w:val="24"/>
          <w:lang w:eastAsia="en-US"/>
        </w:rPr>
        <w:t>Программе</w:t>
      </w:r>
      <w:r w:rsidRPr="005766F5">
        <w:rPr>
          <w:rFonts w:eastAsiaTheme="minorHAnsi"/>
          <w:szCs w:val="24"/>
          <w:lang w:eastAsia="en-US"/>
        </w:rPr>
        <w:t xml:space="preserve"> фонда «Центр поддержки </w:t>
      </w:r>
    </w:p>
    <w:p w:rsidR="0061508F" w:rsidRDefault="0061508F" w:rsidP="0061508F">
      <w:pPr>
        <w:ind w:firstLine="709"/>
        <w:jc w:val="right"/>
        <w:rPr>
          <w:rFonts w:eastAsiaTheme="minorHAnsi"/>
          <w:szCs w:val="24"/>
          <w:lang w:eastAsia="en-US"/>
        </w:rPr>
      </w:pPr>
      <w:r w:rsidRPr="005766F5">
        <w:rPr>
          <w:rFonts w:eastAsiaTheme="minorHAnsi"/>
          <w:szCs w:val="24"/>
          <w:lang w:eastAsia="en-US"/>
        </w:rPr>
        <w:t>предпринимат</w:t>
      </w:r>
      <w:r>
        <w:rPr>
          <w:rFonts w:eastAsiaTheme="minorHAnsi"/>
          <w:szCs w:val="24"/>
          <w:lang w:eastAsia="en-US"/>
        </w:rPr>
        <w:t xml:space="preserve">ельства </w:t>
      </w:r>
      <w:proofErr w:type="gramStart"/>
      <w:r>
        <w:rPr>
          <w:rFonts w:eastAsiaTheme="minorHAnsi"/>
          <w:szCs w:val="24"/>
          <w:lang w:eastAsia="en-US"/>
        </w:rPr>
        <w:t>Калининградской</w:t>
      </w:r>
      <w:proofErr w:type="gramEnd"/>
      <w:r>
        <w:rPr>
          <w:rFonts w:eastAsiaTheme="minorHAnsi"/>
          <w:szCs w:val="24"/>
          <w:lang w:eastAsia="en-US"/>
        </w:rPr>
        <w:t xml:space="preserve"> области</w:t>
      </w:r>
      <w:r w:rsidRPr="005766F5">
        <w:rPr>
          <w:rFonts w:eastAsiaTheme="minorHAnsi"/>
          <w:szCs w:val="24"/>
          <w:lang w:eastAsia="en-US"/>
        </w:rPr>
        <w:t xml:space="preserve">» </w:t>
      </w:r>
      <w:r w:rsidRPr="006E1F49">
        <w:rPr>
          <w:rFonts w:eastAsiaTheme="minorHAnsi"/>
          <w:szCs w:val="24"/>
          <w:lang w:eastAsia="en-US"/>
        </w:rPr>
        <w:t xml:space="preserve">«Финансирование </w:t>
      </w:r>
    </w:p>
    <w:p w:rsidR="0061508F" w:rsidRDefault="0061508F" w:rsidP="0061508F">
      <w:pPr>
        <w:ind w:firstLine="709"/>
        <w:jc w:val="right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проектов </w:t>
      </w:r>
      <w:r w:rsidRPr="006E1F49">
        <w:rPr>
          <w:rFonts w:eastAsiaTheme="minorHAnsi"/>
          <w:szCs w:val="24"/>
          <w:lang w:eastAsia="en-US"/>
        </w:rPr>
        <w:t xml:space="preserve">по вовлечению объектов культурного наследия </w:t>
      </w:r>
    </w:p>
    <w:p w:rsidR="0061508F" w:rsidRPr="006E1F49" w:rsidRDefault="0061508F" w:rsidP="0061508F">
      <w:pPr>
        <w:ind w:left="0" w:firstLine="709"/>
        <w:jc w:val="right"/>
        <w:rPr>
          <w:rFonts w:eastAsiaTheme="minorHAnsi"/>
          <w:szCs w:val="24"/>
          <w:lang w:eastAsia="en-US"/>
        </w:rPr>
      </w:pPr>
      <w:r w:rsidRPr="006E1F49">
        <w:rPr>
          <w:rFonts w:eastAsiaTheme="minorHAnsi"/>
          <w:szCs w:val="24"/>
          <w:lang w:eastAsia="en-US"/>
        </w:rPr>
        <w:t xml:space="preserve">в хозяйственный оборот </w:t>
      </w:r>
      <w:proofErr w:type="gramStart"/>
      <w:r w:rsidRPr="006E1F49">
        <w:rPr>
          <w:rFonts w:eastAsiaTheme="minorHAnsi"/>
          <w:szCs w:val="24"/>
          <w:lang w:eastAsia="en-US"/>
        </w:rPr>
        <w:t>Калининградской</w:t>
      </w:r>
      <w:proofErr w:type="gramEnd"/>
      <w:r w:rsidRPr="006E1F49">
        <w:rPr>
          <w:rFonts w:eastAsiaTheme="minorHAnsi"/>
          <w:szCs w:val="24"/>
          <w:lang w:eastAsia="en-US"/>
        </w:rPr>
        <w:t xml:space="preserve"> области»</w:t>
      </w:r>
    </w:p>
    <w:p w:rsidR="008170C6" w:rsidRPr="003E4BB0" w:rsidRDefault="008170C6" w:rsidP="008170C6"/>
    <w:p w:rsidR="008170C6" w:rsidRDefault="008170C6" w:rsidP="00922B12">
      <w:pPr>
        <w:spacing w:after="469" w:line="240" w:lineRule="auto"/>
        <w:ind w:left="0" w:right="-36" w:hanging="10"/>
        <w:contextualSpacing/>
        <w:jc w:val="center"/>
        <w:rPr>
          <w:b/>
          <w:szCs w:val="24"/>
          <w:highlight w:val="yellow"/>
        </w:rPr>
      </w:pPr>
    </w:p>
    <w:p w:rsidR="00EA23F8" w:rsidRDefault="008170C6" w:rsidP="00922B12">
      <w:pPr>
        <w:spacing w:after="469" w:line="240" w:lineRule="auto"/>
        <w:ind w:left="0" w:right="-36" w:hanging="10"/>
        <w:contextualSpacing/>
        <w:jc w:val="center"/>
        <w:rPr>
          <w:b/>
          <w:szCs w:val="24"/>
        </w:rPr>
      </w:pPr>
      <w:r w:rsidRPr="008170C6">
        <w:rPr>
          <w:b/>
          <w:szCs w:val="24"/>
        </w:rPr>
        <w:t>Руководство по формированию финансовой модели</w:t>
      </w:r>
    </w:p>
    <w:p w:rsidR="00AC20D0" w:rsidRPr="007215CD" w:rsidRDefault="00AC20D0" w:rsidP="00922B12">
      <w:pPr>
        <w:spacing w:after="469" w:line="240" w:lineRule="auto"/>
        <w:ind w:left="0" w:right="-36" w:hanging="10"/>
        <w:contextualSpacing/>
        <w:jc w:val="center"/>
        <w:rPr>
          <w:b/>
          <w:szCs w:val="24"/>
        </w:rPr>
      </w:pPr>
    </w:p>
    <w:p w:rsidR="00D52012" w:rsidRPr="00AC20D0" w:rsidRDefault="00AC20D0" w:rsidP="007963E3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b/>
          <w:szCs w:val="24"/>
        </w:rPr>
      </w:pPr>
      <w:r w:rsidRPr="00AC20D0">
        <w:rPr>
          <w:b/>
          <w:szCs w:val="24"/>
        </w:rPr>
        <w:t xml:space="preserve">Требования к функциональным возможностям модели: </w:t>
      </w:r>
    </w:p>
    <w:p w:rsidR="00AC20D0" w:rsidRDefault="00AC20D0" w:rsidP="00D52012">
      <w:pPr>
        <w:spacing w:after="116" w:line="240" w:lineRule="auto"/>
        <w:ind w:left="0" w:right="14" w:firstLine="567"/>
        <w:contextualSpacing/>
        <w:rPr>
          <w:szCs w:val="24"/>
        </w:rPr>
      </w:pPr>
    </w:p>
    <w:p w:rsidR="00D52012" w:rsidRPr="007215CD" w:rsidRDefault="00D52012" w:rsidP="00A614D6">
      <w:pPr>
        <w:spacing w:before="120" w:after="116" w:line="240" w:lineRule="auto"/>
        <w:ind w:left="0" w:right="11" w:firstLine="567"/>
        <w:contextualSpacing/>
        <w:rPr>
          <w:szCs w:val="24"/>
        </w:rPr>
      </w:pPr>
      <w:r w:rsidRPr="007215CD">
        <w:rPr>
          <w:szCs w:val="24"/>
        </w:rPr>
        <w:t xml:space="preserve">Финансовая модель должна быть создана в формате </w:t>
      </w:r>
      <w:proofErr w:type="spellStart"/>
      <w:r w:rsidRPr="007215CD">
        <w:rPr>
          <w:szCs w:val="24"/>
        </w:rPr>
        <w:t>Microsoft</w:t>
      </w:r>
      <w:proofErr w:type="spellEnd"/>
      <w:r w:rsidRPr="007215CD">
        <w:rPr>
          <w:szCs w:val="24"/>
        </w:rPr>
        <w:t xml:space="preserve"> </w:t>
      </w:r>
      <w:proofErr w:type="spellStart"/>
      <w:r w:rsidRPr="007215CD">
        <w:rPr>
          <w:szCs w:val="24"/>
        </w:rPr>
        <w:t>Excel</w:t>
      </w:r>
      <w:proofErr w:type="spellEnd"/>
      <w:r w:rsidRPr="007215CD">
        <w:rPr>
          <w:szCs w:val="24"/>
        </w:rPr>
        <w:t xml:space="preserve"> (версия 97 или более поздняя). Имя файла финансовой модели должно ясно указывать на версию финансовой модели и дату подготовки.</w:t>
      </w:r>
    </w:p>
    <w:p w:rsidR="00D52012" w:rsidRPr="007215CD" w:rsidRDefault="00D52012" w:rsidP="00A614D6">
      <w:pPr>
        <w:spacing w:before="120" w:after="116" w:line="240" w:lineRule="auto"/>
        <w:ind w:left="0" w:right="11" w:firstLine="567"/>
        <w:contextualSpacing/>
        <w:rPr>
          <w:szCs w:val="24"/>
        </w:rPr>
      </w:pPr>
      <w:r w:rsidRPr="007215CD">
        <w:rPr>
          <w:szCs w:val="24"/>
        </w:rPr>
        <w:t>Никакая часть финансовой модели не должна быть скрыта, защищена, заблокирована или иным образом недоступна для просмотра и внесения изменений.</w:t>
      </w:r>
    </w:p>
    <w:p w:rsidR="00AC20D0" w:rsidRDefault="00D52012" w:rsidP="00A614D6">
      <w:pPr>
        <w:spacing w:before="120" w:after="116" w:line="240" w:lineRule="auto"/>
        <w:ind w:left="0" w:right="11" w:firstLine="567"/>
        <w:contextualSpacing/>
        <w:rPr>
          <w:szCs w:val="24"/>
        </w:rPr>
      </w:pPr>
      <w:r w:rsidRPr="007215CD">
        <w:rPr>
          <w:szCs w:val="24"/>
        </w:rPr>
        <w:t xml:space="preserve">Финансовая модель должна обладать понятной и логичной структурой. </w:t>
      </w:r>
    </w:p>
    <w:p w:rsidR="003C7987" w:rsidRDefault="003C7987" w:rsidP="00A614D6">
      <w:pPr>
        <w:spacing w:before="120" w:after="0" w:line="240" w:lineRule="auto"/>
        <w:ind w:left="0" w:right="11" w:firstLine="567"/>
        <w:contextualSpacing/>
        <w:rPr>
          <w:szCs w:val="24"/>
        </w:rPr>
      </w:pPr>
      <w:r w:rsidRPr="00D52012">
        <w:rPr>
          <w:szCs w:val="24"/>
        </w:rPr>
        <w:t>Все элементы, использующиеся при расчетах в составе формул, должны являться действующими ссылками на ячейки, в которых содержатся допущения (исходные данные), или ячейки, содержащие формулы. Недопустимы ссылки на внешние файлы и циклические</w:t>
      </w:r>
      <w:r>
        <w:rPr>
          <w:szCs w:val="24"/>
        </w:rPr>
        <w:t xml:space="preserve"> </w:t>
      </w:r>
      <w:r w:rsidRPr="00D52012">
        <w:rPr>
          <w:szCs w:val="24"/>
        </w:rPr>
        <w:t xml:space="preserve">ссылки. В исключительных случаях факт и причина отступления от данных правил должны быть изложены в описании к финансовой модели. </w:t>
      </w:r>
    </w:p>
    <w:p w:rsidR="003C7987" w:rsidRPr="00D52012" w:rsidRDefault="003C7987" w:rsidP="00A614D6">
      <w:pPr>
        <w:spacing w:before="120" w:after="116" w:line="240" w:lineRule="auto"/>
        <w:ind w:left="0" w:right="11" w:firstLine="567"/>
        <w:contextualSpacing/>
        <w:rPr>
          <w:szCs w:val="24"/>
        </w:rPr>
      </w:pPr>
      <w:r w:rsidRPr="00D52012">
        <w:rPr>
          <w:szCs w:val="24"/>
        </w:rPr>
        <w:t>Финансовая модель должна допускать внесение изменений в первоначально заложенные допущения и автоматически корректировать финансовые прогнозы в с</w:t>
      </w:r>
      <w:r>
        <w:rPr>
          <w:szCs w:val="24"/>
        </w:rPr>
        <w:t>лучае внесения таких изменений.</w:t>
      </w:r>
    </w:p>
    <w:p w:rsidR="003C7987" w:rsidRPr="00971829" w:rsidRDefault="003C7987" w:rsidP="00A614D6">
      <w:pPr>
        <w:spacing w:before="120" w:after="116" w:line="240" w:lineRule="auto"/>
        <w:ind w:left="0" w:right="11" w:firstLine="567"/>
        <w:contextualSpacing/>
        <w:rPr>
          <w:szCs w:val="24"/>
        </w:rPr>
      </w:pPr>
      <w:r w:rsidRPr="003C7987">
        <w:rPr>
          <w:szCs w:val="24"/>
        </w:rPr>
        <w:t xml:space="preserve">Финансовая модель должна быть построена так, чтобы позволить проведение анализа чувствительности результатов финансовых прогнозов к изменению всех допущений (исходных данных) </w:t>
      </w:r>
      <w:r w:rsidRPr="00971829">
        <w:rPr>
          <w:szCs w:val="24"/>
        </w:rPr>
        <w:t>модели (п.5).</w:t>
      </w:r>
    </w:p>
    <w:p w:rsidR="003C7987" w:rsidRPr="00D52012" w:rsidRDefault="003C7987" w:rsidP="00A614D6">
      <w:pPr>
        <w:spacing w:before="120" w:after="116" w:line="240" w:lineRule="auto"/>
        <w:ind w:left="0" w:right="11" w:firstLine="567"/>
        <w:contextualSpacing/>
        <w:rPr>
          <w:szCs w:val="24"/>
        </w:rPr>
      </w:pPr>
      <w:r w:rsidRPr="00D52012">
        <w:rPr>
          <w:szCs w:val="24"/>
        </w:rPr>
        <w:t xml:space="preserve">Финансовая модель должна обладать достаточной степенью </w:t>
      </w:r>
      <w:r w:rsidRPr="00971829">
        <w:rPr>
          <w:szCs w:val="24"/>
        </w:rPr>
        <w:t>детализации</w:t>
      </w:r>
      <w:r w:rsidRPr="00D52012">
        <w:rPr>
          <w:szCs w:val="24"/>
        </w:rPr>
        <w:t>, то есть содержать разбивки по основным видам продукции/ услуг, периодам, статьям доходов и затрат и т.п. В то же время, финансовая модель должна предоставлять информацию в интегрированном виде, а именно, в её составе должны присутствовать взаимосвязанные друг с другом прогнозный отчет о финансовых результатах, прогнозный баланс, прогнозный отчет о движении денежных средств.</w:t>
      </w:r>
    </w:p>
    <w:p w:rsidR="003C7987" w:rsidRDefault="003C7987" w:rsidP="00A614D6">
      <w:pPr>
        <w:spacing w:before="120" w:after="116" w:line="240" w:lineRule="auto"/>
        <w:ind w:left="0" w:right="11" w:firstLine="567"/>
        <w:contextualSpacing/>
        <w:rPr>
          <w:szCs w:val="24"/>
        </w:rPr>
      </w:pPr>
      <w:r w:rsidRPr="00D52012">
        <w:rPr>
          <w:szCs w:val="24"/>
        </w:rPr>
        <w:t>Данные финансовой модели не должны противоречить данным, указанным в остальных документах заявляемого проекта: бизнес-план, календарный план.</w:t>
      </w:r>
    </w:p>
    <w:p w:rsidR="00D52012" w:rsidRPr="007215CD" w:rsidRDefault="00971829" w:rsidP="00971829">
      <w:pPr>
        <w:spacing w:after="0" w:line="240" w:lineRule="auto"/>
        <w:ind w:left="0" w:right="14" w:firstLine="567"/>
        <w:contextualSpacing/>
        <w:rPr>
          <w:szCs w:val="24"/>
        </w:rPr>
      </w:pPr>
      <w:r>
        <w:rPr>
          <w:szCs w:val="24"/>
        </w:rPr>
        <w:t>В Финансовой модели должны быть п</w:t>
      </w:r>
      <w:r w:rsidR="00D52012" w:rsidRPr="007215CD">
        <w:rPr>
          <w:szCs w:val="24"/>
        </w:rPr>
        <w:t>оследовательно представлены</w:t>
      </w:r>
      <w:r>
        <w:rPr>
          <w:szCs w:val="24"/>
        </w:rPr>
        <w:t xml:space="preserve"> следующие данные</w:t>
      </w:r>
      <w:r w:rsidR="00D52012" w:rsidRPr="007215CD">
        <w:rPr>
          <w:szCs w:val="24"/>
        </w:rPr>
        <w:t xml:space="preserve">: </w:t>
      </w:r>
    </w:p>
    <w:p w:rsidR="00D52012" w:rsidRPr="00971829" w:rsidRDefault="00971829" w:rsidP="00971829">
      <w:pPr>
        <w:spacing w:after="0" w:line="240" w:lineRule="auto"/>
        <w:ind w:left="0" w:right="11" w:firstLine="567"/>
        <w:contextualSpacing/>
        <w:rPr>
          <w:szCs w:val="24"/>
        </w:rPr>
      </w:pPr>
      <w:r>
        <w:rPr>
          <w:szCs w:val="24"/>
        </w:rPr>
        <w:t xml:space="preserve">- </w:t>
      </w:r>
      <w:r w:rsidR="00D52012" w:rsidRPr="00971829">
        <w:rPr>
          <w:szCs w:val="24"/>
        </w:rPr>
        <w:t>ретроспективная финансовая отчетность (если компания действующая) на последнюю отчетную дату;</w:t>
      </w:r>
      <w:r w:rsidRPr="00971829">
        <w:rPr>
          <w:szCs w:val="24"/>
        </w:rPr>
        <w:t xml:space="preserve"> </w:t>
      </w:r>
    </w:p>
    <w:p w:rsidR="00971829" w:rsidRPr="00971829" w:rsidRDefault="00971829" w:rsidP="00971829">
      <w:pPr>
        <w:pStyle w:val="a3"/>
        <w:spacing w:line="240" w:lineRule="auto"/>
        <w:ind w:left="0" w:firstLine="567"/>
      </w:pPr>
      <w:r>
        <w:rPr>
          <w:szCs w:val="24"/>
        </w:rPr>
        <w:t xml:space="preserve">- </w:t>
      </w:r>
      <w:r w:rsidRPr="00971829">
        <w:rPr>
          <w:szCs w:val="24"/>
        </w:rPr>
        <w:t>для Действующей компании формируется отдельно прогноз «с проектом» и прогноз «без проекта»;</w:t>
      </w:r>
    </w:p>
    <w:p w:rsidR="00971829" w:rsidRDefault="00971829" w:rsidP="00971829">
      <w:pPr>
        <w:spacing w:after="0" w:line="240" w:lineRule="auto"/>
        <w:ind w:left="0" w:right="11" w:firstLine="567"/>
        <w:contextualSpacing/>
        <w:rPr>
          <w:szCs w:val="24"/>
        </w:rPr>
      </w:pPr>
      <w:r>
        <w:rPr>
          <w:szCs w:val="24"/>
        </w:rPr>
        <w:t>- для новой компании формируется финансовая модель по проекту;</w:t>
      </w:r>
    </w:p>
    <w:p w:rsidR="00D52012" w:rsidRPr="00971829" w:rsidRDefault="00971829" w:rsidP="00971829">
      <w:pPr>
        <w:spacing w:after="0" w:line="240" w:lineRule="auto"/>
        <w:ind w:left="0" w:right="11" w:firstLine="567"/>
        <w:contextualSpacing/>
        <w:rPr>
          <w:szCs w:val="24"/>
        </w:rPr>
      </w:pPr>
      <w:r>
        <w:rPr>
          <w:szCs w:val="24"/>
        </w:rPr>
        <w:t xml:space="preserve">- </w:t>
      </w:r>
      <w:r w:rsidR="00D52012" w:rsidRPr="00971829">
        <w:rPr>
          <w:szCs w:val="24"/>
        </w:rPr>
        <w:t>исходные данные (допущения), прогнозы и вспомогательные расчеты;</w:t>
      </w:r>
    </w:p>
    <w:p w:rsidR="00D52012" w:rsidRDefault="00971829" w:rsidP="00971829">
      <w:pPr>
        <w:spacing w:after="0" w:line="240" w:lineRule="auto"/>
        <w:ind w:left="0" w:right="11" w:firstLine="567"/>
        <w:contextualSpacing/>
        <w:rPr>
          <w:szCs w:val="24"/>
        </w:rPr>
      </w:pPr>
      <w:r>
        <w:rPr>
          <w:szCs w:val="24"/>
        </w:rPr>
        <w:t>-</w:t>
      </w:r>
      <w:r w:rsidR="00A614D6">
        <w:rPr>
          <w:szCs w:val="24"/>
        </w:rPr>
        <w:t xml:space="preserve"> </w:t>
      </w:r>
      <w:r w:rsidR="00D52012" w:rsidRPr="00971829">
        <w:rPr>
          <w:szCs w:val="24"/>
        </w:rPr>
        <w:t>результаты финансовых</w:t>
      </w:r>
      <w:r w:rsidR="00D52012" w:rsidRPr="007215CD">
        <w:rPr>
          <w:szCs w:val="24"/>
        </w:rPr>
        <w:t xml:space="preserve"> прогнозов </w:t>
      </w:r>
      <w:r w:rsidR="00D52012" w:rsidRPr="00971829">
        <w:rPr>
          <w:szCs w:val="24"/>
        </w:rPr>
        <w:t>(формы прогнозной финансовой отчетности и показатели) (указанные элементы должны быть визуально отделены друг от друга, но связаны между собой расчетными формулами).</w:t>
      </w:r>
    </w:p>
    <w:p w:rsidR="00D52012" w:rsidRDefault="00D52012" w:rsidP="00D52012">
      <w:pPr>
        <w:spacing w:after="116" w:line="240" w:lineRule="auto"/>
        <w:ind w:left="0" w:right="14" w:firstLine="567"/>
        <w:contextualSpacing/>
        <w:rPr>
          <w:szCs w:val="24"/>
        </w:rPr>
      </w:pPr>
    </w:p>
    <w:p w:rsidR="00D52012" w:rsidRDefault="00D52012" w:rsidP="00D52012">
      <w:pPr>
        <w:spacing w:after="0" w:line="240" w:lineRule="auto"/>
        <w:ind w:left="0" w:firstLine="0"/>
        <w:contextualSpacing/>
        <w:rPr>
          <w:b/>
          <w:szCs w:val="24"/>
        </w:rPr>
      </w:pPr>
    </w:p>
    <w:p w:rsidR="00AC20D0" w:rsidRDefault="00AC20D0">
      <w:pPr>
        <w:spacing w:after="160" w:line="259" w:lineRule="auto"/>
        <w:ind w:left="0" w:firstLine="0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:rsidR="00AC20D0" w:rsidRPr="003C7987" w:rsidRDefault="003C7987" w:rsidP="002809A6">
      <w:pPr>
        <w:numPr>
          <w:ilvl w:val="0"/>
          <w:numId w:val="1"/>
        </w:numPr>
        <w:spacing w:after="0" w:line="240" w:lineRule="auto"/>
        <w:ind w:left="0" w:right="14" w:firstLine="0"/>
        <w:contextualSpacing/>
        <w:rPr>
          <w:szCs w:val="24"/>
        </w:rPr>
      </w:pPr>
      <w:r>
        <w:rPr>
          <w:b/>
          <w:szCs w:val="24"/>
        </w:rPr>
        <w:lastRenderedPageBreak/>
        <w:t>ИСХОДНЫЕ ДАННЫЕ</w:t>
      </w:r>
    </w:p>
    <w:p w:rsidR="003C7987" w:rsidRPr="003C7987" w:rsidRDefault="003C7987" w:rsidP="003C7987">
      <w:pPr>
        <w:spacing w:after="0" w:line="240" w:lineRule="auto"/>
        <w:ind w:left="0" w:right="14" w:firstLine="0"/>
        <w:contextualSpacing/>
        <w:rPr>
          <w:szCs w:val="24"/>
        </w:rPr>
      </w:pPr>
    </w:p>
    <w:p w:rsidR="00EA23F8" w:rsidRPr="007215CD" w:rsidRDefault="006B09ED" w:rsidP="00D52012">
      <w:pPr>
        <w:spacing w:after="0" w:line="240" w:lineRule="auto"/>
        <w:ind w:right="14"/>
        <w:contextualSpacing/>
        <w:rPr>
          <w:szCs w:val="24"/>
        </w:rPr>
      </w:pPr>
      <w:r w:rsidRPr="007215CD">
        <w:rPr>
          <w:szCs w:val="24"/>
        </w:rPr>
        <w:t>В числе исходных данных финансовой модели должны быть указаны:</w:t>
      </w:r>
    </w:p>
    <w:p w:rsidR="00922B12" w:rsidRPr="007215CD" w:rsidRDefault="006B09ED" w:rsidP="00D52012">
      <w:pPr>
        <w:numPr>
          <w:ilvl w:val="2"/>
          <w:numId w:val="3"/>
        </w:numPr>
        <w:spacing w:after="0" w:line="240" w:lineRule="auto"/>
        <w:ind w:left="0" w:right="14" w:firstLine="0"/>
        <w:contextualSpacing/>
        <w:rPr>
          <w:szCs w:val="24"/>
        </w:rPr>
      </w:pPr>
      <w:r w:rsidRPr="007215CD">
        <w:rPr>
          <w:szCs w:val="24"/>
        </w:rPr>
        <w:t xml:space="preserve">Основные методические предположения, использованные при построении финансовых прогнозов, в том числе: </w:t>
      </w:r>
    </w:p>
    <w:p w:rsidR="00D86AD0" w:rsidRPr="007215CD" w:rsidRDefault="006B09ED" w:rsidP="00D52012">
      <w:pPr>
        <w:pStyle w:val="a3"/>
        <w:numPr>
          <w:ilvl w:val="0"/>
          <w:numId w:val="13"/>
        </w:numPr>
        <w:spacing w:after="0" w:line="240" w:lineRule="auto"/>
        <w:ind w:right="14"/>
        <w:rPr>
          <w:szCs w:val="24"/>
        </w:rPr>
      </w:pPr>
      <w:r w:rsidRPr="007215CD">
        <w:rPr>
          <w:szCs w:val="24"/>
        </w:rPr>
        <w:t xml:space="preserve">срок жизни </w:t>
      </w:r>
      <w:r w:rsidRPr="00262048">
        <w:rPr>
          <w:szCs w:val="24"/>
        </w:rPr>
        <w:t>проекта</w:t>
      </w:r>
      <w:r w:rsidR="007A3A6C" w:rsidRPr="00262048">
        <w:rPr>
          <w:szCs w:val="24"/>
        </w:rPr>
        <w:t xml:space="preserve"> – 15 лет</w:t>
      </w:r>
      <w:r w:rsidRPr="00262048">
        <w:rPr>
          <w:szCs w:val="24"/>
        </w:rPr>
        <w:t>;</w:t>
      </w:r>
      <w:r w:rsidRPr="007215CD">
        <w:rPr>
          <w:szCs w:val="24"/>
        </w:rPr>
        <w:t xml:space="preserve"> </w:t>
      </w:r>
    </w:p>
    <w:p w:rsidR="007A3A6C" w:rsidRPr="007215CD" w:rsidRDefault="007A3A6C" w:rsidP="00D52012">
      <w:pPr>
        <w:pStyle w:val="a3"/>
        <w:numPr>
          <w:ilvl w:val="0"/>
          <w:numId w:val="13"/>
        </w:numPr>
        <w:spacing w:after="0" w:line="240" w:lineRule="auto"/>
        <w:ind w:right="14"/>
        <w:rPr>
          <w:szCs w:val="24"/>
        </w:rPr>
      </w:pPr>
      <w:r w:rsidRPr="007215CD">
        <w:rPr>
          <w:szCs w:val="24"/>
        </w:rPr>
        <w:t xml:space="preserve">шаг </w:t>
      </w:r>
      <w:r w:rsidRPr="00262048">
        <w:rPr>
          <w:szCs w:val="24"/>
        </w:rPr>
        <w:t xml:space="preserve">прогноза </w:t>
      </w:r>
      <w:r w:rsidR="00262048">
        <w:rPr>
          <w:szCs w:val="24"/>
        </w:rPr>
        <w:t xml:space="preserve">- </w:t>
      </w:r>
      <w:r w:rsidRPr="00262048">
        <w:rPr>
          <w:szCs w:val="24"/>
        </w:rPr>
        <w:t>один год;</w:t>
      </w:r>
      <w:r w:rsidRPr="007215CD">
        <w:rPr>
          <w:szCs w:val="24"/>
        </w:rPr>
        <w:t xml:space="preserve"> </w:t>
      </w:r>
    </w:p>
    <w:p w:rsidR="00D86AD0" w:rsidRPr="007215CD" w:rsidRDefault="006B09ED" w:rsidP="00D52012">
      <w:pPr>
        <w:pStyle w:val="a3"/>
        <w:numPr>
          <w:ilvl w:val="0"/>
          <w:numId w:val="13"/>
        </w:numPr>
        <w:spacing w:after="0" w:line="240" w:lineRule="auto"/>
        <w:ind w:right="14"/>
        <w:rPr>
          <w:szCs w:val="24"/>
        </w:rPr>
      </w:pPr>
      <w:r w:rsidRPr="007215CD">
        <w:rPr>
          <w:szCs w:val="24"/>
        </w:rPr>
        <w:t xml:space="preserve">вид ставки дисконтирования и метод её расчета; </w:t>
      </w:r>
    </w:p>
    <w:p w:rsidR="00EA23F8" w:rsidRPr="007215CD" w:rsidRDefault="006B09ED" w:rsidP="00D52012">
      <w:pPr>
        <w:pStyle w:val="a3"/>
        <w:numPr>
          <w:ilvl w:val="0"/>
          <w:numId w:val="13"/>
        </w:numPr>
        <w:spacing w:after="0" w:line="240" w:lineRule="auto"/>
        <w:ind w:right="14"/>
        <w:rPr>
          <w:szCs w:val="24"/>
        </w:rPr>
      </w:pPr>
      <w:r w:rsidRPr="007215CD">
        <w:rPr>
          <w:szCs w:val="24"/>
        </w:rPr>
        <w:t>иные ключевые методические предположения.</w:t>
      </w:r>
    </w:p>
    <w:p w:rsidR="00EA23F8" w:rsidRPr="007215CD" w:rsidRDefault="006B09ED" w:rsidP="00D52012">
      <w:pPr>
        <w:numPr>
          <w:ilvl w:val="2"/>
          <w:numId w:val="3"/>
        </w:numPr>
        <w:spacing w:after="0" w:line="240" w:lineRule="auto"/>
        <w:ind w:left="0" w:right="14" w:firstLine="0"/>
        <w:contextualSpacing/>
        <w:rPr>
          <w:szCs w:val="24"/>
        </w:rPr>
      </w:pPr>
      <w:r w:rsidRPr="007215CD">
        <w:rPr>
          <w:szCs w:val="24"/>
        </w:rPr>
        <w:t>Макроэкономические данные (прог</w:t>
      </w:r>
      <w:r w:rsidR="007A3A6C">
        <w:rPr>
          <w:szCs w:val="24"/>
        </w:rPr>
        <w:t xml:space="preserve">нозы инфляции, обменных курсов </w:t>
      </w:r>
      <w:r w:rsidRPr="007215CD">
        <w:rPr>
          <w:szCs w:val="24"/>
        </w:rPr>
        <w:t>и т.п.)</w:t>
      </w:r>
      <w:r w:rsidR="007A3A6C">
        <w:rPr>
          <w:szCs w:val="24"/>
        </w:rPr>
        <w:t>.</w:t>
      </w:r>
    </w:p>
    <w:p w:rsidR="00EA23F8" w:rsidRPr="007A3A6C" w:rsidRDefault="006B09ED" w:rsidP="00D52012">
      <w:pPr>
        <w:numPr>
          <w:ilvl w:val="2"/>
          <w:numId w:val="3"/>
        </w:numPr>
        <w:spacing w:after="0" w:line="240" w:lineRule="auto"/>
        <w:ind w:left="0" w:right="14" w:firstLine="0"/>
        <w:contextualSpacing/>
        <w:rPr>
          <w:szCs w:val="24"/>
        </w:rPr>
      </w:pPr>
      <w:r w:rsidRPr="007A3A6C">
        <w:rPr>
          <w:szCs w:val="24"/>
        </w:rPr>
        <w:t>Подробный календарный план осу</w:t>
      </w:r>
      <w:r w:rsidR="007A3A6C" w:rsidRPr="007A3A6C">
        <w:rPr>
          <w:szCs w:val="24"/>
        </w:rPr>
        <w:t>ществляемых инвестиций в проект.</w:t>
      </w:r>
    </w:p>
    <w:p w:rsidR="00EA23F8" w:rsidRPr="007A3A6C" w:rsidRDefault="006B09ED" w:rsidP="00D52012">
      <w:pPr>
        <w:numPr>
          <w:ilvl w:val="2"/>
          <w:numId w:val="3"/>
        </w:numPr>
        <w:spacing w:after="0" w:line="240" w:lineRule="auto"/>
        <w:ind w:left="0" w:right="14" w:firstLine="0"/>
        <w:contextualSpacing/>
        <w:rPr>
          <w:szCs w:val="24"/>
        </w:rPr>
      </w:pPr>
      <w:r w:rsidRPr="007A3A6C">
        <w:rPr>
          <w:szCs w:val="24"/>
        </w:rPr>
        <w:t>Прогноз капитальных вложений</w:t>
      </w:r>
      <w:r w:rsidR="007A3A6C" w:rsidRPr="007A3A6C">
        <w:rPr>
          <w:szCs w:val="24"/>
        </w:rPr>
        <w:t>.</w:t>
      </w:r>
    </w:p>
    <w:p w:rsidR="00EA23F8" w:rsidRPr="007215CD" w:rsidRDefault="007A3A6C" w:rsidP="00D52012">
      <w:pPr>
        <w:numPr>
          <w:ilvl w:val="2"/>
          <w:numId w:val="3"/>
        </w:numPr>
        <w:spacing w:after="0" w:line="240" w:lineRule="auto"/>
        <w:ind w:left="0" w:right="14" w:firstLine="0"/>
        <w:contextualSpacing/>
        <w:rPr>
          <w:szCs w:val="24"/>
        </w:rPr>
      </w:pPr>
      <w:r w:rsidRPr="007215CD">
        <w:rPr>
          <w:szCs w:val="24"/>
        </w:rPr>
        <w:t xml:space="preserve">Прогноз </w:t>
      </w:r>
      <w:r w:rsidR="006B09ED" w:rsidRPr="007215CD">
        <w:rPr>
          <w:szCs w:val="24"/>
        </w:rPr>
        <w:t>объема продаж</w:t>
      </w:r>
      <w:r>
        <w:rPr>
          <w:szCs w:val="24"/>
        </w:rPr>
        <w:t>/оказания услуг.</w:t>
      </w:r>
    </w:p>
    <w:p w:rsidR="00EA23F8" w:rsidRPr="007215CD" w:rsidRDefault="006B09ED" w:rsidP="00D52012">
      <w:pPr>
        <w:numPr>
          <w:ilvl w:val="2"/>
          <w:numId w:val="3"/>
        </w:numPr>
        <w:spacing w:after="0" w:line="240" w:lineRule="auto"/>
        <w:ind w:left="0" w:right="14" w:firstLine="0"/>
        <w:contextualSpacing/>
        <w:rPr>
          <w:szCs w:val="24"/>
        </w:rPr>
      </w:pPr>
      <w:r w:rsidRPr="007215CD">
        <w:rPr>
          <w:szCs w:val="24"/>
        </w:rPr>
        <w:t>Прогноз цен/тарифов на готовую продукцию/услуги;</w:t>
      </w:r>
    </w:p>
    <w:p w:rsidR="00EA23F8" w:rsidRPr="007215CD" w:rsidRDefault="006B09ED" w:rsidP="0048700B">
      <w:pPr>
        <w:numPr>
          <w:ilvl w:val="2"/>
          <w:numId w:val="3"/>
        </w:numPr>
        <w:spacing w:line="240" w:lineRule="auto"/>
        <w:ind w:left="0" w:right="14" w:firstLine="0"/>
        <w:contextualSpacing/>
        <w:rPr>
          <w:szCs w:val="24"/>
        </w:rPr>
      </w:pPr>
      <w:r w:rsidRPr="007215CD">
        <w:rPr>
          <w:szCs w:val="24"/>
        </w:rPr>
        <w:t>Нормы расх</w:t>
      </w:r>
      <w:r w:rsidR="006D62A7">
        <w:rPr>
          <w:szCs w:val="24"/>
        </w:rPr>
        <w:t xml:space="preserve">ода ресурсов на единицу выпуска </w:t>
      </w:r>
      <w:r w:rsidRPr="007215CD">
        <w:rPr>
          <w:szCs w:val="24"/>
        </w:rPr>
        <w:t>(в натуральном выражении);</w:t>
      </w:r>
    </w:p>
    <w:p w:rsidR="00EA23F8" w:rsidRPr="007215CD" w:rsidRDefault="006B09ED" w:rsidP="0048700B">
      <w:pPr>
        <w:numPr>
          <w:ilvl w:val="2"/>
          <w:numId w:val="3"/>
        </w:numPr>
        <w:spacing w:after="185" w:line="240" w:lineRule="auto"/>
        <w:ind w:left="0" w:right="14" w:firstLine="0"/>
        <w:contextualSpacing/>
        <w:rPr>
          <w:szCs w:val="24"/>
        </w:rPr>
      </w:pPr>
      <w:r w:rsidRPr="007215CD">
        <w:rPr>
          <w:szCs w:val="24"/>
        </w:rPr>
        <w:t>Прогноз цен на основное сырье и материалы и других затрат, составляющих себестоимост</w:t>
      </w:r>
      <w:r w:rsidR="007A3A6C">
        <w:rPr>
          <w:szCs w:val="24"/>
        </w:rPr>
        <w:t>ь</w:t>
      </w:r>
      <w:r w:rsidRPr="007215CD">
        <w:rPr>
          <w:szCs w:val="24"/>
        </w:rPr>
        <w:t>, прогноз иных пер</w:t>
      </w:r>
      <w:bookmarkStart w:id="0" w:name="_GoBack"/>
      <w:bookmarkEnd w:id="0"/>
      <w:r w:rsidRPr="007215CD">
        <w:rPr>
          <w:szCs w:val="24"/>
        </w:rPr>
        <w:t>еменных затрат;</w:t>
      </w:r>
    </w:p>
    <w:p w:rsidR="00EA23F8" w:rsidRPr="007215CD" w:rsidRDefault="006B09ED" w:rsidP="0048700B">
      <w:pPr>
        <w:numPr>
          <w:ilvl w:val="2"/>
          <w:numId w:val="3"/>
        </w:numPr>
        <w:spacing w:after="189" w:line="240" w:lineRule="auto"/>
        <w:ind w:left="0" w:right="14" w:firstLine="0"/>
        <w:contextualSpacing/>
        <w:rPr>
          <w:szCs w:val="24"/>
        </w:rPr>
      </w:pPr>
      <w:r w:rsidRPr="007215CD">
        <w:rPr>
          <w:szCs w:val="24"/>
        </w:rPr>
        <w:t>Прогноз затрат на персонал (бюджет затрат на персонал);</w:t>
      </w:r>
    </w:p>
    <w:p w:rsidR="00EA23F8" w:rsidRPr="007215CD" w:rsidRDefault="006B09ED" w:rsidP="0048700B">
      <w:pPr>
        <w:numPr>
          <w:ilvl w:val="2"/>
          <w:numId w:val="3"/>
        </w:numPr>
        <w:spacing w:after="62" w:line="240" w:lineRule="auto"/>
        <w:ind w:left="0" w:right="14" w:firstLine="0"/>
        <w:contextualSpacing/>
        <w:rPr>
          <w:szCs w:val="24"/>
        </w:rPr>
      </w:pPr>
      <w:r w:rsidRPr="007215CD">
        <w:rPr>
          <w:szCs w:val="24"/>
        </w:rPr>
        <w:t>Прогноз условно постоянных затрат;</w:t>
      </w:r>
    </w:p>
    <w:p w:rsidR="00EA23F8" w:rsidRPr="007215CD" w:rsidRDefault="006B09ED" w:rsidP="00DA41ED">
      <w:pPr>
        <w:numPr>
          <w:ilvl w:val="2"/>
          <w:numId w:val="3"/>
        </w:numPr>
        <w:spacing w:after="198" w:line="240" w:lineRule="auto"/>
        <w:ind w:left="0" w:right="14" w:firstLine="0"/>
        <w:contextualSpacing/>
        <w:rPr>
          <w:szCs w:val="24"/>
        </w:rPr>
      </w:pPr>
      <w:r w:rsidRPr="007215CD">
        <w:rPr>
          <w:szCs w:val="24"/>
        </w:rPr>
        <w:t>Налоговые предпосылки</w:t>
      </w:r>
      <w:r w:rsidR="00DA41ED">
        <w:rPr>
          <w:szCs w:val="24"/>
        </w:rPr>
        <w:t>.</w:t>
      </w:r>
    </w:p>
    <w:p w:rsidR="001D5FBF" w:rsidRPr="006E60A8" w:rsidRDefault="006B09ED" w:rsidP="001D5FBF">
      <w:pPr>
        <w:numPr>
          <w:ilvl w:val="2"/>
          <w:numId w:val="3"/>
        </w:numPr>
        <w:spacing w:after="234" w:line="240" w:lineRule="auto"/>
        <w:ind w:left="0" w:right="14" w:firstLine="0"/>
        <w:contextualSpacing/>
        <w:rPr>
          <w:szCs w:val="24"/>
        </w:rPr>
      </w:pPr>
      <w:r w:rsidRPr="007215CD">
        <w:rPr>
          <w:szCs w:val="24"/>
        </w:rPr>
        <w:t xml:space="preserve">Прогнозная структура </w:t>
      </w:r>
      <w:r w:rsidRPr="006E60A8">
        <w:rPr>
          <w:szCs w:val="24"/>
        </w:rPr>
        <w:t>финансирования</w:t>
      </w:r>
      <w:r w:rsidR="00583789" w:rsidRPr="006E60A8">
        <w:rPr>
          <w:szCs w:val="24"/>
        </w:rPr>
        <w:t xml:space="preserve"> (</w:t>
      </w:r>
      <w:r w:rsidR="008254EB" w:rsidRPr="006E60A8">
        <w:rPr>
          <w:szCs w:val="24"/>
        </w:rPr>
        <w:t>заем</w:t>
      </w:r>
      <w:r w:rsidR="00583789" w:rsidRPr="006E60A8">
        <w:rPr>
          <w:szCs w:val="24"/>
        </w:rPr>
        <w:t>, безвозмездная финансовая поддержка)</w:t>
      </w:r>
      <w:r w:rsidRPr="006E60A8">
        <w:rPr>
          <w:szCs w:val="24"/>
        </w:rPr>
        <w:t>, условия по заёмному финансированию (процентные ставки, график получения и обслу</w:t>
      </w:r>
      <w:r w:rsidR="00DA41ED" w:rsidRPr="006E60A8">
        <w:rPr>
          <w:szCs w:val="24"/>
        </w:rPr>
        <w:t>живания долга).</w:t>
      </w:r>
    </w:p>
    <w:p w:rsidR="001D5FBF" w:rsidRPr="006E60A8" w:rsidRDefault="001D5FBF" w:rsidP="001D5FBF">
      <w:pPr>
        <w:numPr>
          <w:ilvl w:val="2"/>
          <w:numId w:val="3"/>
        </w:numPr>
        <w:spacing w:after="234" w:line="240" w:lineRule="auto"/>
        <w:ind w:left="0" w:right="14" w:firstLine="0"/>
        <w:contextualSpacing/>
        <w:rPr>
          <w:szCs w:val="24"/>
        </w:rPr>
      </w:pPr>
      <w:r w:rsidRPr="006E60A8">
        <w:rPr>
          <w:szCs w:val="24"/>
        </w:rPr>
        <w:t xml:space="preserve">Финансовую модель и финансовые показатели необходимо рассчитать в 2-х сценариях: 1) с учетом возврата только займа; 2) с учетом возврата займа и </w:t>
      </w:r>
      <w:proofErr w:type="gramStart"/>
      <w:r w:rsidRPr="006E60A8">
        <w:rPr>
          <w:szCs w:val="24"/>
        </w:rPr>
        <w:t>безвозмездной</w:t>
      </w:r>
      <w:proofErr w:type="gramEnd"/>
      <w:r w:rsidRPr="006E60A8">
        <w:rPr>
          <w:szCs w:val="24"/>
        </w:rPr>
        <w:t xml:space="preserve"> финансовой поддержки.</w:t>
      </w:r>
    </w:p>
    <w:p w:rsidR="00EA23F8" w:rsidRPr="006E60A8" w:rsidRDefault="006B09ED" w:rsidP="0048700B">
      <w:pPr>
        <w:numPr>
          <w:ilvl w:val="2"/>
          <w:numId w:val="3"/>
        </w:numPr>
        <w:spacing w:after="537" w:line="240" w:lineRule="auto"/>
        <w:ind w:left="0" w:right="14" w:firstLine="0"/>
        <w:contextualSpacing/>
        <w:rPr>
          <w:szCs w:val="24"/>
        </w:rPr>
      </w:pPr>
      <w:r w:rsidRPr="006E60A8">
        <w:rPr>
          <w:szCs w:val="24"/>
        </w:rPr>
        <w:t>Иные исходные данные и предпосылки, важные для данной отрасли и типа проекта.</w:t>
      </w:r>
    </w:p>
    <w:p w:rsidR="00D86AD0" w:rsidRPr="007215CD" w:rsidRDefault="00D86AD0" w:rsidP="00922B12">
      <w:pPr>
        <w:spacing w:line="240" w:lineRule="auto"/>
        <w:ind w:left="0" w:right="14"/>
        <w:contextualSpacing/>
        <w:rPr>
          <w:szCs w:val="24"/>
        </w:rPr>
      </w:pPr>
    </w:p>
    <w:p w:rsidR="00AC20D0" w:rsidRDefault="00AC20D0">
      <w:pPr>
        <w:spacing w:after="160" w:line="259" w:lineRule="auto"/>
        <w:ind w:left="0" w:firstLine="0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:rsidR="00EA23F8" w:rsidRPr="007215CD" w:rsidRDefault="006B09ED" w:rsidP="00D52012">
      <w:pPr>
        <w:spacing w:after="0" w:line="240" w:lineRule="auto"/>
        <w:ind w:left="0" w:right="14"/>
        <w:contextualSpacing/>
        <w:rPr>
          <w:b/>
          <w:szCs w:val="24"/>
        </w:rPr>
      </w:pPr>
      <w:r w:rsidRPr="007215CD">
        <w:rPr>
          <w:b/>
          <w:szCs w:val="24"/>
        </w:rPr>
        <w:lastRenderedPageBreak/>
        <w:t>З. СОСТАВ РЕЗУЛЬТАТОВ ФИНАНСОВЫХ ПРОГНОЗОВ</w:t>
      </w:r>
    </w:p>
    <w:p w:rsidR="00D52012" w:rsidRDefault="00D52012" w:rsidP="00D52012">
      <w:pPr>
        <w:spacing w:after="0" w:line="240" w:lineRule="auto"/>
        <w:ind w:left="0" w:right="14"/>
        <w:contextualSpacing/>
        <w:rPr>
          <w:b/>
          <w:szCs w:val="24"/>
        </w:rPr>
      </w:pPr>
    </w:p>
    <w:p w:rsidR="00EA23F8" w:rsidRPr="007215CD" w:rsidRDefault="006B09ED" w:rsidP="00D52012">
      <w:pPr>
        <w:spacing w:after="0" w:line="240" w:lineRule="auto"/>
        <w:ind w:left="0" w:right="14"/>
        <w:contextualSpacing/>
        <w:rPr>
          <w:b/>
          <w:szCs w:val="24"/>
        </w:rPr>
      </w:pPr>
      <w:r w:rsidRPr="007215CD">
        <w:rPr>
          <w:b/>
          <w:szCs w:val="24"/>
        </w:rPr>
        <w:t>3.1. Формы прогнозной финансовой отчетности.</w:t>
      </w:r>
    </w:p>
    <w:p w:rsidR="00D52012" w:rsidRDefault="00D52012" w:rsidP="00D52012">
      <w:pPr>
        <w:spacing w:after="0" w:line="240" w:lineRule="auto"/>
        <w:ind w:left="0" w:right="14" w:firstLine="0"/>
        <w:contextualSpacing/>
        <w:rPr>
          <w:szCs w:val="24"/>
        </w:rPr>
      </w:pPr>
    </w:p>
    <w:p w:rsidR="00D86AD0" w:rsidRPr="007215CD" w:rsidRDefault="006B09ED" w:rsidP="00D52012">
      <w:pPr>
        <w:spacing w:after="0" w:line="240" w:lineRule="auto"/>
        <w:ind w:left="0" w:right="14" w:firstLine="0"/>
        <w:contextualSpacing/>
        <w:rPr>
          <w:szCs w:val="24"/>
        </w:rPr>
      </w:pPr>
      <w:r w:rsidRPr="007215CD">
        <w:rPr>
          <w:szCs w:val="24"/>
        </w:rPr>
        <w:t xml:space="preserve">В обязательном порядке должны быть представлены следующие формы прогнозной финансовой отчётности: </w:t>
      </w:r>
    </w:p>
    <w:p w:rsidR="00D86AD0" w:rsidRPr="007215CD" w:rsidRDefault="006B09ED" w:rsidP="00D52012">
      <w:pPr>
        <w:numPr>
          <w:ilvl w:val="2"/>
          <w:numId w:val="3"/>
        </w:numPr>
        <w:spacing w:after="0" w:line="240" w:lineRule="auto"/>
        <w:ind w:left="0" w:firstLine="0"/>
        <w:rPr>
          <w:szCs w:val="24"/>
        </w:rPr>
      </w:pPr>
      <w:r w:rsidRPr="007215CD">
        <w:rPr>
          <w:szCs w:val="24"/>
        </w:rPr>
        <w:t>от</w:t>
      </w:r>
      <w:r w:rsidR="00D86AD0" w:rsidRPr="007215CD">
        <w:rPr>
          <w:szCs w:val="24"/>
        </w:rPr>
        <w:t>чет о движении денежных средств;</w:t>
      </w:r>
    </w:p>
    <w:p w:rsidR="00D86AD0" w:rsidRPr="007215CD" w:rsidRDefault="006B09ED" w:rsidP="00D52012">
      <w:pPr>
        <w:numPr>
          <w:ilvl w:val="2"/>
          <w:numId w:val="3"/>
        </w:numPr>
        <w:spacing w:after="0" w:line="240" w:lineRule="auto"/>
        <w:ind w:left="0" w:firstLine="0"/>
        <w:rPr>
          <w:szCs w:val="24"/>
        </w:rPr>
      </w:pPr>
      <w:r w:rsidRPr="007215CD">
        <w:rPr>
          <w:szCs w:val="24"/>
        </w:rPr>
        <w:t>отчет о финансовых результатах</w:t>
      </w:r>
      <w:r w:rsidR="00D86AD0" w:rsidRPr="007215CD">
        <w:rPr>
          <w:szCs w:val="24"/>
        </w:rPr>
        <w:t>;</w:t>
      </w:r>
    </w:p>
    <w:p w:rsidR="00EA23F8" w:rsidRPr="007215CD" w:rsidRDefault="006B09ED" w:rsidP="00D52012">
      <w:pPr>
        <w:numPr>
          <w:ilvl w:val="2"/>
          <w:numId w:val="3"/>
        </w:numPr>
        <w:spacing w:after="0" w:line="240" w:lineRule="auto"/>
        <w:ind w:left="0" w:firstLine="0"/>
        <w:rPr>
          <w:szCs w:val="24"/>
        </w:rPr>
      </w:pPr>
      <w:r w:rsidRPr="007215CD">
        <w:rPr>
          <w:szCs w:val="24"/>
        </w:rPr>
        <w:t>баланс.</w:t>
      </w:r>
    </w:p>
    <w:p w:rsidR="0048700B" w:rsidRPr="007215CD" w:rsidRDefault="0048700B" w:rsidP="00D52012">
      <w:pPr>
        <w:spacing w:after="0" w:line="240" w:lineRule="auto"/>
        <w:ind w:left="0" w:right="14"/>
        <w:contextualSpacing/>
        <w:rPr>
          <w:szCs w:val="24"/>
        </w:rPr>
      </w:pPr>
    </w:p>
    <w:p w:rsidR="00EA23F8" w:rsidRPr="00D52012" w:rsidRDefault="006B09ED" w:rsidP="00D52012">
      <w:pPr>
        <w:pStyle w:val="a3"/>
        <w:numPr>
          <w:ilvl w:val="1"/>
          <w:numId w:val="18"/>
        </w:numPr>
        <w:spacing w:after="0" w:line="240" w:lineRule="auto"/>
        <w:ind w:right="14"/>
        <w:rPr>
          <w:b/>
          <w:szCs w:val="24"/>
        </w:rPr>
      </w:pPr>
      <w:r w:rsidRPr="00D52012">
        <w:rPr>
          <w:b/>
          <w:szCs w:val="24"/>
        </w:rPr>
        <w:t>Финансовые показатели (коэффициенты)</w:t>
      </w:r>
    </w:p>
    <w:p w:rsidR="00D52012" w:rsidRPr="00D52012" w:rsidRDefault="00D52012" w:rsidP="00D52012">
      <w:pPr>
        <w:pStyle w:val="a3"/>
        <w:spacing w:after="0" w:line="240" w:lineRule="auto"/>
        <w:ind w:left="540" w:right="14" w:firstLine="0"/>
        <w:rPr>
          <w:b/>
          <w:szCs w:val="24"/>
        </w:rPr>
      </w:pPr>
    </w:p>
    <w:p w:rsidR="00EA23F8" w:rsidRPr="007215CD" w:rsidRDefault="006B09ED" w:rsidP="00D52012">
      <w:pPr>
        <w:pStyle w:val="a3"/>
        <w:numPr>
          <w:ilvl w:val="2"/>
          <w:numId w:val="18"/>
        </w:numPr>
        <w:spacing w:after="0" w:line="240" w:lineRule="auto"/>
        <w:ind w:right="11"/>
        <w:rPr>
          <w:b/>
          <w:szCs w:val="24"/>
        </w:rPr>
      </w:pPr>
      <w:r w:rsidRPr="007215CD">
        <w:rPr>
          <w:b/>
          <w:szCs w:val="24"/>
        </w:rPr>
        <w:t>Показатели и</w:t>
      </w:r>
      <w:r w:rsidR="002C3CC1" w:rsidRPr="007215CD">
        <w:rPr>
          <w:b/>
          <w:szCs w:val="24"/>
        </w:rPr>
        <w:t>нвестиционной привлекательности.</w:t>
      </w:r>
    </w:p>
    <w:p w:rsidR="00EA23F8" w:rsidRPr="007215CD" w:rsidRDefault="006B09ED" w:rsidP="00D52012">
      <w:pPr>
        <w:numPr>
          <w:ilvl w:val="2"/>
          <w:numId w:val="3"/>
        </w:numPr>
        <w:spacing w:after="0" w:line="240" w:lineRule="auto"/>
        <w:ind w:left="0" w:right="14" w:firstLine="0"/>
        <w:contextualSpacing/>
        <w:rPr>
          <w:szCs w:val="24"/>
        </w:rPr>
      </w:pPr>
      <w:r w:rsidRPr="007215CD">
        <w:rPr>
          <w:szCs w:val="24"/>
        </w:rPr>
        <w:t>чистая приведенная стоимость проекта (</w:t>
      </w:r>
      <w:r w:rsidRPr="009311FD">
        <w:rPr>
          <w:b/>
          <w:szCs w:val="24"/>
        </w:rPr>
        <w:t>NPV</w:t>
      </w:r>
      <w:r w:rsidRPr="007215CD">
        <w:rPr>
          <w:szCs w:val="24"/>
        </w:rPr>
        <w:t>)</w:t>
      </w:r>
    </w:p>
    <w:p w:rsidR="00EA23F8" w:rsidRPr="007215CD" w:rsidRDefault="006B09ED" w:rsidP="00D52012">
      <w:pPr>
        <w:numPr>
          <w:ilvl w:val="2"/>
          <w:numId w:val="3"/>
        </w:numPr>
        <w:spacing w:after="0" w:line="240" w:lineRule="auto"/>
        <w:ind w:left="0" w:right="14" w:firstLine="0"/>
        <w:contextualSpacing/>
        <w:rPr>
          <w:szCs w:val="24"/>
        </w:rPr>
      </w:pPr>
      <w:r w:rsidRPr="007215CD">
        <w:rPr>
          <w:szCs w:val="24"/>
        </w:rPr>
        <w:t>дисконтированный период окупаемости проекта (</w:t>
      </w:r>
      <w:r w:rsidRPr="009311FD">
        <w:rPr>
          <w:b/>
          <w:szCs w:val="24"/>
        </w:rPr>
        <w:t>DPBP</w:t>
      </w:r>
      <w:r w:rsidRPr="007215CD">
        <w:rPr>
          <w:szCs w:val="24"/>
        </w:rPr>
        <w:t>)</w:t>
      </w:r>
    </w:p>
    <w:p w:rsidR="00EA23F8" w:rsidRPr="007215CD" w:rsidRDefault="006B09ED" w:rsidP="00D52012">
      <w:pPr>
        <w:numPr>
          <w:ilvl w:val="2"/>
          <w:numId w:val="3"/>
        </w:numPr>
        <w:spacing w:after="0" w:line="240" w:lineRule="auto"/>
        <w:ind w:left="0" w:right="14" w:firstLine="0"/>
        <w:contextualSpacing/>
        <w:rPr>
          <w:szCs w:val="24"/>
        </w:rPr>
      </w:pPr>
      <w:r w:rsidRPr="007215CD">
        <w:rPr>
          <w:szCs w:val="24"/>
        </w:rPr>
        <w:t>внутренняя норма доходности проекта (</w:t>
      </w:r>
      <w:r w:rsidR="00FC72AB" w:rsidRPr="00F12538">
        <w:rPr>
          <w:b/>
          <w:szCs w:val="24"/>
        </w:rPr>
        <w:t>I</w:t>
      </w:r>
      <w:r w:rsidRPr="00F12538">
        <w:rPr>
          <w:b/>
          <w:szCs w:val="24"/>
        </w:rPr>
        <w:t>RR</w:t>
      </w:r>
      <w:r w:rsidRPr="007215CD">
        <w:rPr>
          <w:szCs w:val="24"/>
        </w:rPr>
        <w:t>)</w:t>
      </w:r>
    </w:p>
    <w:p w:rsidR="00EA23F8" w:rsidRPr="007215CD" w:rsidRDefault="006B09ED" w:rsidP="00D52012">
      <w:pPr>
        <w:numPr>
          <w:ilvl w:val="2"/>
          <w:numId w:val="3"/>
        </w:numPr>
        <w:spacing w:after="0" w:line="240" w:lineRule="auto"/>
        <w:ind w:left="0" w:right="14" w:firstLine="0"/>
        <w:contextualSpacing/>
        <w:rPr>
          <w:szCs w:val="24"/>
        </w:rPr>
      </w:pPr>
      <w:r w:rsidRPr="007215CD">
        <w:rPr>
          <w:szCs w:val="24"/>
        </w:rPr>
        <w:t>индекс прибыльности (</w:t>
      </w:r>
      <w:r w:rsidRPr="009311FD">
        <w:rPr>
          <w:b/>
          <w:szCs w:val="24"/>
        </w:rPr>
        <w:t>P</w:t>
      </w:r>
      <w:r w:rsidR="002C3CC1" w:rsidRPr="009311FD">
        <w:rPr>
          <w:b/>
          <w:szCs w:val="24"/>
        </w:rPr>
        <w:t>I</w:t>
      </w:r>
      <w:r w:rsidRPr="007215CD">
        <w:rPr>
          <w:szCs w:val="24"/>
        </w:rPr>
        <w:t>)</w:t>
      </w:r>
    </w:p>
    <w:p w:rsidR="005A5C5A" w:rsidRPr="007215CD" w:rsidRDefault="005A5C5A" w:rsidP="00D52012">
      <w:pPr>
        <w:pStyle w:val="a3"/>
        <w:spacing w:after="0" w:line="240" w:lineRule="auto"/>
        <w:ind w:left="0" w:right="11" w:firstLine="0"/>
        <w:rPr>
          <w:szCs w:val="24"/>
        </w:rPr>
      </w:pPr>
    </w:p>
    <w:p w:rsidR="00EA23F8" w:rsidRDefault="006B09ED" w:rsidP="00D52012">
      <w:pPr>
        <w:pStyle w:val="a3"/>
        <w:numPr>
          <w:ilvl w:val="2"/>
          <w:numId w:val="19"/>
        </w:numPr>
        <w:spacing w:after="0" w:line="240" w:lineRule="auto"/>
        <w:ind w:right="11"/>
        <w:rPr>
          <w:b/>
          <w:szCs w:val="24"/>
        </w:rPr>
      </w:pPr>
      <w:r w:rsidRPr="007215CD">
        <w:rPr>
          <w:b/>
          <w:szCs w:val="24"/>
        </w:rPr>
        <w:t>Показатели финансовой устойчивости:</w:t>
      </w:r>
    </w:p>
    <w:p w:rsidR="00EA23F8" w:rsidRPr="007215CD" w:rsidRDefault="006B09ED" w:rsidP="00D52012">
      <w:pPr>
        <w:numPr>
          <w:ilvl w:val="2"/>
          <w:numId w:val="3"/>
        </w:numPr>
        <w:spacing w:after="0" w:line="240" w:lineRule="auto"/>
        <w:ind w:left="0" w:right="14" w:firstLine="0"/>
        <w:contextualSpacing/>
        <w:rPr>
          <w:szCs w:val="24"/>
        </w:rPr>
      </w:pPr>
      <w:r w:rsidRPr="007215CD">
        <w:rPr>
          <w:szCs w:val="24"/>
        </w:rPr>
        <w:t>коэффициент покрытия процентных выплат (</w:t>
      </w:r>
      <w:r w:rsidRPr="009311FD">
        <w:rPr>
          <w:b/>
          <w:szCs w:val="24"/>
        </w:rPr>
        <w:t>ICR</w:t>
      </w:r>
      <w:r w:rsidRPr="007215CD">
        <w:rPr>
          <w:szCs w:val="24"/>
        </w:rPr>
        <w:t>)</w:t>
      </w:r>
    </w:p>
    <w:p w:rsidR="00EA23F8" w:rsidRPr="007215CD" w:rsidRDefault="006B09ED" w:rsidP="00D52012">
      <w:pPr>
        <w:numPr>
          <w:ilvl w:val="2"/>
          <w:numId w:val="3"/>
        </w:numPr>
        <w:spacing w:after="0" w:line="240" w:lineRule="auto"/>
        <w:ind w:left="0" w:right="14" w:firstLine="0"/>
        <w:contextualSpacing/>
        <w:rPr>
          <w:szCs w:val="24"/>
        </w:rPr>
      </w:pPr>
      <w:r w:rsidRPr="007215CD">
        <w:rPr>
          <w:szCs w:val="24"/>
        </w:rPr>
        <w:t>коэффициент покрытия выплат по обслуживанию долга операционными денежными потоками (DSCR)</w:t>
      </w:r>
    </w:p>
    <w:p w:rsidR="00EA23F8" w:rsidRPr="007215CD" w:rsidRDefault="00B12054" w:rsidP="00D52012">
      <w:pPr>
        <w:numPr>
          <w:ilvl w:val="2"/>
          <w:numId w:val="3"/>
        </w:numPr>
        <w:spacing w:after="0" w:line="240" w:lineRule="auto"/>
        <w:ind w:left="0" w:right="14" w:firstLine="0"/>
        <w:contextualSpacing/>
        <w:rPr>
          <w:szCs w:val="24"/>
        </w:rPr>
      </w:pPr>
      <w:r w:rsidRPr="007215CD">
        <w:rPr>
          <w:szCs w:val="24"/>
        </w:rPr>
        <w:t>Долг/Собственный капитал;</w:t>
      </w:r>
    </w:p>
    <w:p w:rsidR="00B12054" w:rsidRPr="007215CD" w:rsidRDefault="00B12054" w:rsidP="00D52012">
      <w:pPr>
        <w:numPr>
          <w:ilvl w:val="2"/>
          <w:numId w:val="3"/>
        </w:numPr>
        <w:spacing w:after="0" w:line="240" w:lineRule="auto"/>
        <w:ind w:left="0" w:right="14" w:firstLine="0"/>
        <w:contextualSpacing/>
        <w:rPr>
          <w:szCs w:val="24"/>
        </w:rPr>
      </w:pPr>
      <w:r w:rsidRPr="007215CD">
        <w:rPr>
          <w:szCs w:val="24"/>
        </w:rPr>
        <w:t>Долг/EBITDA;</w:t>
      </w:r>
    </w:p>
    <w:p w:rsidR="00B12054" w:rsidRPr="007215CD" w:rsidRDefault="00B12054" w:rsidP="00D52012">
      <w:pPr>
        <w:numPr>
          <w:ilvl w:val="2"/>
          <w:numId w:val="3"/>
        </w:numPr>
        <w:spacing w:after="0" w:line="240" w:lineRule="auto"/>
        <w:ind w:left="0" w:right="14" w:firstLine="0"/>
        <w:contextualSpacing/>
        <w:rPr>
          <w:szCs w:val="24"/>
        </w:rPr>
      </w:pPr>
      <w:r w:rsidRPr="007215CD">
        <w:rPr>
          <w:szCs w:val="24"/>
        </w:rPr>
        <w:t>Чистый долг/EBITDA;</w:t>
      </w:r>
    </w:p>
    <w:p w:rsidR="00B12054" w:rsidRPr="007215CD" w:rsidRDefault="00B12054" w:rsidP="00D52012">
      <w:pPr>
        <w:numPr>
          <w:ilvl w:val="2"/>
          <w:numId w:val="3"/>
        </w:numPr>
        <w:spacing w:after="0" w:line="240" w:lineRule="auto"/>
        <w:ind w:left="0" w:right="14" w:firstLine="0"/>
        <w:contextualSpacing/>
        <w:rPr>
          <w:szCs w:val="24"/>
        </w:rPr>
      </w:pPr>
      <w:r w:rsidRPr="007215CD">
        <w:rPr>
          <w:szCs w:val="24"/>
        </w:rPr>
        <w:t>Долг/ CFADS</w:t>
      </w:r>
    </w:p>
    <w:p w:rsidR="00EA23F8" w:rsidRPr="007215CD" w:rsidRDefault="00EA23F8" w:rsidP="00D52012">
      <w:pPr>
        <w:spacing w:after="0" w:line="240" w:lineRule="auto"/>
        <w:ind w:left="0" w:right="5806" w:firstLine="4"/>
        <w:contextualSpacing/>
        <w:rPr>
          <w:szCs w:val="24"/>
        </w:rPr>
      </w:pPr>
    </w:p>
    <w:p w:rsidR="00EA23F8" w:rsidRDefault="006B09ED" w:rsidP="00D52012">
      <w:pPr>
        <w:pStyle w:val="a3"/>
        <w:numPr>
          <w:ilvl w:val="2"/>
          <w:numId w:val="19"/>
        </w:numPr>
        <w:spacing w:after="0" w:line="240" w:lineRule="auto"/>
        <w:ind w:right="11"/>
        <w:rPr>
          <w:b/>
          <w:szCs w:val="24"/>
        </w:rPr>
      </w:pPr>
      <w:r w:rsidRPr="007215CD">
        <w:rPr>
          <w:b/>
          <w:szCs w:val="24"/>
        </w:rPr>
        <w:t>Показатели ликвидности (платежеспособности):</w:t>
      </w:r>
    </w:p>
    <w:p w:rsidR="00EA23F8" w:rsidRPr="007215CD" w:rsidRDefault="006B09ED" w:rsidP="00D52012">
      <w:pPr>
        <w:numPr>
          <w:ilvl w:val="2"/>
          <w:numId w:val="3"/>
        </w:numPr>
        <w:spacing w:after="0" w:line="240" w:lineRule="auto"/>
        <w:ind w:left="0" w:right="14" w:firstLine="0"/>
        <w:contextualSpacing/>
        <w:rPr>
          <w:szCs w:val="24"/>
        </w:rPr>
      </w:pPr>
      <w:r w:rsidRPr="007215CD">
        <w:rPr>
          <w:szCs w:val="24"/>
        </w:rPr>
        <w:t>показатель текущей ликвидности</w:t>
      </w:r>
    </w:p>
    <w:p w:rsidR="00EA23F8" w:rsidRPr="007215CD" w:rsidRDefault="006B09ED" w:rsidP="00D52012">
      <w:pPr>
        <w:numPr>
          <w:ilvl w:val="2"/>
          <w:numId w:val="3"/>
        </w:numPr>
        <w:spacing w:after="0" w:line="240" w:lineRule="auto"/>
        <w:ind w:left="-142" w:right="14" w:firstLine="142"/>
        <w:contextualSpacing/>
        <w:rPr>
          <w:szCs w:val="24"/>
        </w:rPr>
      </w:pPr>
      <w:r w:rsidRPr="007215CD">
        <w:rPr>
          <w:szCs w:val="24"/>
        </w:rPr>
        <w:t>показатель быстрой ликвидности</w:t>
      </w:r>
    </w:p>
    <w:p w:rsidR="00B12054" w:rsidRPr="007215CD" w:rsidRDefault="00B12054" w:rsidP="00D52012">
      <w:pPr>
        <w:spacing w:after="0" w:line="240" w:lineRule="auto"/>
        <w:ind w:left="0" w:right="108" w:hanging="10"/>
        <w:contextualSpacing/>
        <w:jc w:val="center"/>
        <w:rPr>
          <w:szCs w:val="24"/>
        </w:rPr>
      </w:pPr>
    </w:p>
    <w:p w:rsidR="00A24FBE" w:rsidRPr="007215CD" w:rsidRDefault="00A24FBE" w:rsidP="00D52012">
      <w:pPr>
        <w:spacing w:after="0" w:line="240" w:lineRule="auto"/>
        <w:ind w:left="0" w:right="7" w:firstLine="0"/>
        <w:contextualSpacing/>
        <w:jc w:val="left"/>
        <w:rPr>
          <w:szCs w:val="24"/>
        </w:rPr>
      </w:pPr>
      <w:r w:rsidRPr="007215CD">
        <w:rPr>
          <w:b/>
          <w:szCs w:val="24"/>
        </w:rPr>
        <w:t xml:space="preserve">3.2.4. </w:t>
      </w:r>
      <w:r w:rsidR="006B09ED" w:rsidRPr="007215CD">
        <w:rPr>
          <w:b/>
          <w:szCs w:val="24"/>
        </w:rPr>
        <w:t>Иные финансовые показатели (коэффициенты).</w:t>
      </w:r>
      <w:r w:rsidR="006B09ED" w:rsidRPr="007215CD">
        <w:rPr>
          <w:szCs w:val="24"/>
        </w:rPr>
        <w:t xml:space="preserve"> </w:t>
      </w:r>
    </w:p>
    <w:p w:rsidR="00A24FBE" w:rsidRPr="007215CD" w:rsidRDefault="00A24FBE" w:rsidP="00D52012">
      <w:pPr>
        <w:spacing w:after="0" w:line="240" w:lineRule="auto"/>
        <w:ind w:left="0" w:right="7" w:firstLine="0"/>
        <w:contextualSpacing/>
        <w:jc w:val="left"/>
        <w:rPr>
          <w:szCs w:val="24"/>
        </w:rPr>
      </w:pPr>
    </w:p>
    <w:p w:rsidR="00EA23F8" w:rsidRPr="007215CD" w:rsidRDefault="006B09ED" w:rsidP="00D52012">
      <w:pPr>
        <w:numPr>
          <w:ilvl w:val="2"/>
          <w:numId w:val="3"/>
        </w:numPr>
        <w:spacing w:after="0" w:line="240" w:lineRule="auto"/>
        <w:ind w:left="0" w:right="11" w:firstLine="0"/>
        <w:contextualSpacing/>
        <w:rPr>
          <w:szCs w:val="24"/>
        </w:rPr>
      </w:pPr>
      <w:r w:rsidRPr="007215CD">
        <w:rPr>
          <w:szCs w:val="24"/>
        </w:rPr>
        <w:t>рентабельность активов (</w:t>
      </w:r>
      <w:r w:rsidRPr="003D7524">
        <w:rPr>
          <w:b/>
          <w:szCs w:val="24"/>
        </w:rPr>
        <w:t>ROA</w:t>
      </w:r>
      <w:r w:rsidRPr="007215CD">
        <w:rPr>
          <w:szCs w:val="24"/>
        </w:rPr>
        <w:t>)</w:t>
      </w:r>
    </w:p>
    <w:p w:rsidR="00611EA9" w:rsidRPr="007215CD" w:rsidRDefault="006B09ED" w:rsidP="00D52012">
      <w:pPr>
        <w:numPr>
          <w:ilvl w:val="2"/>
          <w:numId w:val="3"/>
        </w:numPr>
        <w:spacing w:after="0" w:line="240" w:lineRule="auto"/>
        <w:ind w:left="0" w:right="11" w:firstLine="0"/>
        <w:contextualSpacing/>
        <w:rPr>
          <w:szCs w:val="24"/>
        </w:rPr>
      </w:pPr>
      <w:r w:rsidRPr="007215CD">
        <w:rPr>
          <w:szCs w:val="24"/>
        </w:rPr>
        <w:t>рентабельность продаж (</w:t>
      </w:r>
      <w:r w:rsidRPr="003D7524">
        <w:rPr>
          <w:b/>
          <w:szCs w:val="24"/>
        </w:rPr>
        <w:t>ROS</w:t>
      </w:r>
      <w:r w:rsidRPr="007215CD">
        <w:rPr>
          <w:szCs w:val="24"/>
        </w:rPr>
        <w:t>)</w:t>
      </w:r>
      <w:r w:rsidR="002B12F1">
        <w:rPr>
          <w:szCs w:val="24"/>
        </w:rPr>
        <w:t xml:space="preserve"> </w:t>
      </w:r>
    </w:p>
    <w:p w:rsidR="00611EA9" w:rsidRPr="007215CD" w:rsidRDefault="006B09ED" w:rsidP="00D52012">
      <w:pPr>
        <w:numPr>
          <w:ilvl w:val="2"/>
          <w:numId w:val="3"/>
        </w:numPr>
        <w:spacing w:after="0" w:line="240" w:lineRule="auto"/>
        <w:ind w:left="0" w:right="11" w:firstLine="0"/>
        <w:contextualSpacing/>
        <w:rPr>
          <w:szCs w:val="24"/>
        </w:rPr>
      </w:pPr>
      <w:r w:rsidRPr="007215CD">
        <w:rPr>
          <w:szCs w:val="24"/>
        </w:rPr>
        <w:t>рентабельность собственного капитала (</w:t>
      </w:r>
      <w:r w:rsidRPr="003D7524">
        <w:rPr>
          <w:b/>
          <w:szCs w:val="24"/>
        </w:rPr>
        <w:t>ROE</w:t>
      </w:r>
      <w:r w:rsidRPr="007215CD">
        <w:rPr>
          <w:szCs w:val="24"/>
        </w:rPr>
        <w:t>)</w:t>
      </w:r>
      <w:r w:rsidR="00DA41ED" w:rsidRPr="007215CD">
        <w:rPr>
          <w:szCs w:val="24"/>
        </w:rPr>
        <w:t xml:space="preserve"> </w:t>
      </w:r>
    </w:p>
    <w:p w:rsidR="007215CD" w:rsidRPr="007215CD" w:rsidRDefault="007215CD">
      <w:pPr>
        <w:spacing w:after="160" w:line="259" w:lineRule="auto"/>
        <w:ind w:left="0" w:firstLine="0"/>
        <w:jc w:val="left"/>
        <w:rPr>
          <w:szCs w:val="24"/>
        </w:rPr>
      </w:pPr>
    </w:p>
    <w:p w:rsidR="00322E97" w:rsidRDefault="00322E97">
      <w:pPr>
        <w:spacing w:after="160" w:line="259" w:lineRule="auto"/>
        <w:ind w:left="0" w:firstLine="0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:rsidR="00EA23F8" w:rsidRDefault="006B09ED" w:rsidP="007215CD">
      <w:pPr>
        <w:pStyle w:val="a3"/>
        <w:numPr>
          <w:ilvl w:val="0"/>
          <w:numId w:val="5"/>
        </w:numPr>
        <w:spacing w:line="240" w:lineRule="auto"/>
        <w:ind w:left="0" w:right="14"/>
        <w:rPr>
          <w:b/>
          <w:szCs w:val="24"/>
        </w:rPr>
      </w:pPr>
      <w:r w:rsidRPr="007215CD">
        <w:rPr>
          <w:b/>
          <w:szCs w:val="24"/>
        </w:rPr>
        <w:t>МЕТОДИЧЕСКИЕ УКАЗАНИЯ ПО СОСТАВЛЕНИЮ ФИНАНСОВЫХ ПРОГНОЗОВ</w:t>
      </w:r>
    </w:p>
    <w:p w:rsidR="00B95615" w:rsidRPr="007215CD" w:rsidRDefault="00B95615" w:rsidP="00B95615">
      <w:pPr>
        <w:pStyle w:val="a3"/>
        <w:spacing w:line="240" w:lineRule="auto"/>
        <w:ind w:left="0" w:right="14" w:firstLine="0"/>
        <w:rPr>
          <w:b/>
          <w:szCs w:val="24"/>
        </w:rPr>
      </w:pPr>
    </w:p>
    <w:p w:rsidR="00EA23F8" w:rsidRDefault="00322E97" w:rsidP="007215CD">
      <w:pPr>
        <w:numPr>
          <w:ilvl w:val="1"/>
          <w:numId w:val="5"/>
        </w:numPr>
        <w:spacing w:after="91" w:line="240" w:lineRule="auto"/>
        <w:ind w:left="0" w:right="14" w:firstLine="0"/>
        <w:contextualSpacing/>
        <w:rPr>
          <w:b/>
          <w:szCs w:val="24"/>
        </w:rPr>
      </w:pPr>
      <w:r w:rsidRPr="00CE5558">
        <w:rPr>
          <w:b/>
          <w:szCs w:val="24"/>
        </w:rPr>
        <w:t>Особенности построения финансовых прогнозов</w:t>
      </w:r>
      <w:r w:rsidR="003C7987">
        <w:rPr>
          <w:b/>
          <w:szCs w:val="24"/>
        </w:rPr>
        <w:t xml:space="preserve"> для новой компании</w:t>
      </w:r>
      <w:r w:rsidR="006B09ED" w:rsidRPr="00CE5558">
        <w:rPr>
          <w:b/>
          <w:szCs w:val="24"/>
        </w:rPr>
        <w:t>:</w:t>
      </w:r>
    </w:p>
    <w:p w:rsidR="00B95615" w:rsidRPr="00CE5558" w:rsidRDefault="00B95615" w:rsidP="00B95615">
      <w:pPr>
        <w:spacing w:after="91" w:line="240" w:lineRule="auto"/>
        <w:ind w:left="0" w:right="14" w:firstLine="0"/>
        <w:contextualSpacing/>
        <w:rPr>
          <w:b/>
          <w:szCs w:val="24"/>
        </w:rPr>
      </w:pPr>
    </w:p>
    <w:p w:rsidR="00EA23F8" w:rsidRPr="007215CD" w:rsidRDefault="006B09ED" w:rsidP="00B95615">
      <w:pPr>
        <w:spacing w:after="189" w:line="240" w:lineRule="auto"/>
        <w:ind w:left="0" w:right="14" w:firstLine="709"/>
        <w:contextualSpacing/>
        <w:rPr>
          <w:szCs w:val="24"/>
        </w:rPr>
      </w:pPr>
      <w:r w:rsidRPr="007215CD">
        <w:rPr>
          <w:szCs w:val="24"/>
        </w:rPr>
        <w:t>Прогнозируются только денежные потоки, которые будут поступать в распоряжение Заемщика.</w:t>
      </w:r>
    </w:p>
    <w:p w:rsidR="00BE233D" w:rsidRDefault="00BE233D" w:rsidP="00BE233D">
      <w:pPr>
        <w:spacing w:after="189" w:line="240" w:lineRule="auto"/>
        <w:ind w:left="0" w:right="14" w:firstLine="709"/>
        <w:contextualSpacing/>
        <w:rPr>
          <w:szCs w:val="24"/>
        </w:rPr>
      </w:pPr>
      <w:r>
        <w:rPr>
          <w:szCs w:val="24"/>
        </w:rPr>
        <w:t>В</w:t>
      </w:r>
      <w:r w:rsidRPr="007215CD">
        <w:rPr>
          <w:szCs w:val="24"/>
        </w:rPr>
        <w:t xml:space="preserve"> составе финансовой модели должны быть представлены следующие формы прогнозной финансовой отчётности:</w:t>
      </w:r>
    </w:p>
    <w:p w:rsidR="00BE233D" w:rsidRPr="00B95615" w:rsidRDefault="00BE233D" w:rsidP="00BE233D">
      <w:pPr>
        <w:numPr>
          <w:ilvl w:val="2"/>
          <w:numId w:val="3"/>
        </w:numPr>
        <w:spacing w:after="189" w:line="240" w:lineRule="auto"/>
        <w:ind w:left="0" w:right="14"/>
        <w:contextualSpacing/>
        <w:rPr>
          <w:szCs w:val="24"/>
        </w:rPr>
      </w:pPr>
      <w:r w:rsidRPr="00B95615">
        <w:rPr>
          <w:szCs w:val="24"/>
        </w:rPr>
        <w:t>прогнозный отчет о движении денежных средств;</w:t>
      </w:r>
    </w:p>
    <w:p w:rsidR="00BE233D" w:rsidRPr="00B95615" w:rsidRDefault="00BE233D" w:rsidP="00BE233D">
      <w:pPr>
        <w:numPr>
          <w:ilvl w:val="2"/>
          <w:numId w:val="3"/>
        </w:numPr>
        <w:spacing w:after="189" w:line="240" w:lineRule="auto"/>
        <w:ind w:left="0" w:right="14"/>
        <w:contextualSpacing/>
        <w:rPr>
          <w:szCs w:val="24"/>
        </w:rPr>
      </w:pPr>
      <w:r w:rsidRPr="00B95615">
        <w:rPr>
          <w:szCs w:val="24"/>
        </w:rPr>
        <w:t>прогнозный отчет о финансовых результатах;</w:t>
      </w:r>
    </w:p>
    <w:p w:rsidR="00BE233D" w:rsidRPr="00B95615" w:rsidRDefault="00BE233D" w:rsidP="00BE233D">
      <w:pPr>
        <w:numPr>
          <w:ilvl w:val="2"/>
          <w:numId w:val="3"/>
        </w:numPr>
        <w:spacing w:after="189" w:line="240" w:lineRule="auto"/>
        <w:ind w:left="0" w:right="14"/>
        <w:contextualSpacing/>
        <w:rPr>
          <w:szCs w:val="24"/>
        </w:rPr>
      </w:pPr>
      <w:r w:rsidRPr="00B95615">
        <w:rPr>
          <w:szCs w:val="24"/>
        </w:rPr>
        <w:t xml:space="preserve">прогнозный баланс. </w:t>
      </w:r>
    </w:p>
    <w:p w:rsidR="00EA23F8" w:rsidRPr="007215CD" w:rsidRDefault="006B09ED" w:rsidP="00B95615">
      <w:pPr>
        <w:spacing w:after="189" w:line="240" w:lineRule="auto"/>
        <w:ind w:left="0" w:right="14" w:firstLine="709"/>
        <w:contextualSpacing/>
        <w:rPr>
          <w:szCs w:val="24"/>
        </w:rPr>
      </w:pPr>
      <w:r w:rsidRPr="007215CD">
        <w:rPr>
          <w:szCs w:val="24"/>
        </w:rPr>
        <w:t xml:space="preserve">Затраты, связанные с Проектом, осуществлённые до начального момента </w:t>
      </w:r>
      <w:r w:rsidR="00CE5558">
        <w:rPr>
          <w:szCs w:val="24"/>
        </w:rPr>
        <w:t>П</w:t>
      </w:r>
      <w:r w:rsidRPr="007215CD">
        <w:rPr>
          <w:szCs w:val="24"/>
        </w:rPr>
        <w:t>рогнозного периода, не должны учитываться в прогнозных финансовых потоках, но должны отражаться на балансе Заемщика и в отчете о движении денежных средств в соответствующих периодах их осуществления</w:t>
      </w:r>
      <w:r w:rsidR="00DA41ED">
        <w:rPr>
          <w:szCs w:val="24"/>
        </w:rPr>
        <w:t>.</w:t>
      </w:r>
    </w:p>
    <w:p w:rsidR="00EA23F8" w:rsidRPr="007215CD" w:rsidRDefault="006B09ED" w:rsidP="00B95615">
      <w:pPr>
        <w:spacing w:after="189" w:line="240" w:lineRule="auto"/>
        <w:ind w:left="0" w:right="14" w:firstLine="709"/>
        <w:contextualSpacing/>
        <w:rPr>
          <w:szCs w:val="24"/>
        </w:rPr>
      </w:pPr>
      <w:r w:rsidRPr="007215CD">
        <w:rPr>
          <w:szCs w:val="24"/>
        </w:rPr>
        <w:t>По окончании каждого прогнозного шага сумма о</w:t>
      </w:r>
      <w:r w:rsidRPr="00BE233D">
        <w:rPr>
          <w:szCs w:val="24"/>
        </w:rPr>
        <w:t>статка денежных средств Заемщика не может принимать отрицательные значения</w:t>
      </w:r>
      <w:r w:rsidR="003C7987" w:rsidRPr="00BE233D">
        <w:rPr>
          <w:szCs w:val="24"/>
        </w:rPr>
        <w:t>.</w:t>
      </w:r>
    </w:p>
    <w:p w:rsidR="00EA23F8" w:rsidRPr="007215CD" w:rsidRDefault="006B09ED" w:rsidP="00B95615">
      <w:pPr>
        <w:spacing w:after="189" w:line="240" w:lineRule="auto"/>
        <w:ind w:left="0" w:right="14" w:firstLine="709"/>
        <w:contextualSpacing/>
        <w:rPr>
          <w:szCs w:val="24"/>
        </w:rPr>
      </w:pPr>
      <w:r w:rsidRPr="007215CD">
        <w:rPr>
          <w:szCs w:val="24"/>
        </w:rPr>
        <w:t>Рекомендуется прогнозировать денежные потоки в тех валютах, в которых производятся поступления и платежи, и вслед за этим приводить их к единой, итоговой валюте. Итоговая валюта представления результатов финансовой модели (форм прогнозной отчетности) — рубль РФ</w:t>
      </w:r>
      <w:r w:rsidRPr="007215CD">
        <w:rPr>
          <w:noProof/>
          <w:szCs w:val="24"/>
        </w:rPr>
        <w:drawing>
          <wp:inline distT="0" distB="0" distL="0" distR="0">
            <wp:extent cx="22843" cy="13709"/>
            <wp:effectExtent l="0" t="0" r="0" b="0"/>
            <wp:docPr id="15898" name="Picture 158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98" name="Picture 1589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43" cy="13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615" w:rsidRDefault="00BE233D" w:rsidP="00B95615">
      <w:pPr>
        <w:spacing w:after="189" w:line="240" w:lineRule="auto"/>
        <w:ind w:left="0" w:right="14" w:firstLine="709"/>
        <w:contextualSpacing/>
        <w:rPr>
          <w:szCs w:val="24"/>
        </w:rPr>
      </w:pPr>
      <w:r w:rsidRPr="007215CD">
        <w:rPr>
          <w:szCs w:val="24"/>
        </w:rPr>
        <w:t>Требования к финансовым показателям (коэффициентам) представлены в п.З.2 настоящих Рекомендаций</w:t>
      </w:r>
      <w:r>
        <w:rPr>
          <w:szCs w:val="24"/>
        </w:rPr>
        <w:t>.</w:t>
      </w:r>
    </w:p>
    <w:p w:rsidR="00BE233D" w:rsidRPr="007215CD" w:rsidRDefault="00BE233D" w:rsidP="00B95615">
      <w:pPr>
        <w:spacing w:after="189" w:line="240" w:lineRule="auto"/>
        <w:ind w:left="0" w:right="14" w:firstLine="709"/>
        <w:contextualSpacing/>
        <w:rPr>
          <w:szCs w:val="24"/>
        </w:rPr>
      </w:pPr>
    </w:p>
    <w:p w:rsidR="00EA23F8" w:rsidRDefault="006B09ED" w:rsidP="00CE5558">
      <w:pPr>
        <w:numPr>
          <w:ilvl w:val="1"/>
          <w:numId w:val="5"/>
        </w:numPr>
        <w:spacing w:after="91" w:line="240" w:lineRule="auto"/>
        <w:ind w:left="0" w:right="14" w:firstLine="0"/>
        <w:contextualSpacing/>
        <w:rPr>
          <w:b/>
          <w:szCs w:val="24"/>
        </w:rPr>
      </w:pPr>
      <w:r w:rsidRPr="00CE5558">
        <w:rPr>
          <w:b/>
          <w:szCs w:val="24"/>
        </w:rPr>
        <w:t>Особенности построения финансовых прогнозов для Действующей компании</w:t>
      </w:r>
    </w:p>
    <w:p w:rsidR="00B95615" w:rsidRPr="00CE5558" w:rsidRDefault="00B95615" w:rsidP="00B95615">
      <w:pPr>
        <w:spacing w:after="91" w:line="240" w:lineRule="auto"/>
        <w:ind w:left="0" w:right="14" w:firstLine="0"/>
        <w:contextualSpacing/>
        <w:rPr>
          <w:b/>
          <w:szCs w:val="24"/>
        </w:rPr>
      </w:pPr>
    </w:p>
    <w:p w:rsidR="00EA23F8" w:rsidRDefault="00B95615" w:rsidP="00B95615">
      <w:pPr>
        <w:spacing w:after="189" w:line="240" w:lineRule="auto"/>
        <w:ind w:left="0" w:right="14" w:firstLine="709"/>
        <w:contextualSpacing/>
        <w:rPr>
          <w:szCs w:val="24"/>
        </w:rPr>
      </w:pPr>
      <w:r>
        <w:rPr>
          <w:szCs w:val="24"/>
        </w:rPr>
        <w:t>Ф</w:t>
      </w:r>
      <w:r w:rsidR="006B09ED" w:rsidRPr="007215CD">
        <w:rPr>
          <w:szCs w:val="24"/>
        </w:rPr>
        <w:t>инансовая модель для Действующей компании должна включать в себя прогнозы денежных потоков, которые будут поступать Заемщику</w:t>
      </w:r>
      <w:r w:rsidR="006B09ED" w:rsidRPr="00CE5558">
        <w:rPr>
          <w:szCs w:val="24"/>
        </w:rPr>
        <w:t xml:space="preserve"> </w:t>
      </w:r>
      <w:r w:rsidR="006B09ED" w:rsidRPr="007215CD">
        <w:rPr>
          <w:szCs w:val="24"/>
        </w:rPr>
        <w:t>в случае реализации проекта (</w:t>
      </w:r>
      <w:r w:rsidR="006B09ED" w:rsidRPr="00BE233D">
        <w:rPr>
          <w:b/>
          <w:szCs w:val="24"/>
        </w:rPr>
        <w:t>прогноз «с проектом»</w:t>
      </w:r>
      <w:r w:rsidR="006B09ED" w:rsidRPr="007215CD">
        <w:rPr>
          <w:szCs w:val="24"/>
        </w:rPr>
        <w:t>) и в случае, если проект не будет реализован (</w:t>
      </w:r>
      <w:r w:rsidR="006B09ED" w:rsidRPr="00BE233D">
        <w:rPr>
          <w:b/>
          <w:szCs w:val="24"/>
        </w:rPr>
        <w:t>прогноз «без проекта»</w:t>
      </w:r>
      <w:r w:rsidR="006B09ED" w:rsidRPr="007215CD">
        <w:rPr>
          <w:szCs w:val="24"/>
        </w:rPr>
        <w:t>)</w:t>
      </w:r>
      <w:r w:rsidR="00BE233D">
        <w:rPr>
          <w:szCs w:val="24"/>
        </w:rPr>
        <w:t>.</w:t>
      </w:r>
    </w:p>
    <w:p w:rsidR="00BE233D" w:rsidRPr="00BE233D" w:rsidRDefault="00B95615" w:rsidP="00BE233D">
      <w:r>
        <w:rPr>
          <w:szCs w:val="24"/>
        </w:rPr>
        <w:t>В</w:t>
      </w:r>
      <w:r w:rsidR="006B09ED" w:rsidRPr="007215CD">
        <w:rPr>
          <w:szCs w:val="24"/>
        </w:rPr>
        <w:t xml:space="preserve"> составе финансовой модели для Действующей компании в обязательном порядке должны быть представлены следующие формы прогнозной финансовой отчётности</w:t>
      </w:r>
      <w:r w:rsidR="00BE233D">
        <w:rPr>
          <w:szCs w:val="24"/>
        </w:rPr>
        <w:t xml:space="preserve"> </w:t>
      </w:r>
      <w:r w:rsidR="00BE233D" w:rsidRPr="00BE233D">
        <w:rPr>
          <w:szCs w:val="24"/>
        </w:rPr>
        <w:t>(для прогноза «с проектом»</w:t>
      </w:r>
    </w:p>
    <w:p w:rsidR="00B95615" w:rsidRPr="00BE233D" w:rsidRDefault="00BE233D" w:rsidP="00BE233D">
      <w:pPr>
        <w:rPr>
          <w:szCs w:val="24"/>
        </w:rPr>
      </w:pPr>
      <w:r w:rsidRPr="00BE233D">
        <w:rPr>
          <w:szCs w:val="24"/>
        </w:rPr>
        <w:t>и прогноза «без проекта»)</w:t>
      </w:r>
      <w:r w:rsidR="006B09ED" w:rsidRPr="00BE233D">
        <w:rPr>
          <w:szCs w:val="24"/>
        </w:rPr>
        <w:t>:</w:t>
      </w:r>
    </w:p>
    <w:p w:rsidR="00B95615" w:rsidRPr="00B95615" w:rsidRDefault="006B09ED" w:rsidP="005A2DF3">
      <w:pPr>
        <w:numPr>
          <w:ilvl w:val="2"/>
          <w:numId w:val="3"/>
        </w:numPr>
        <w:spacing w:after="189" w:line="240" w:lineRule="auto"/>
        <w:ind w:left="0" w:right="14"/>
        <w:contextualSpacing/>
        <w:rPr>
          <w:szCs w:val="24"/>
        </w:rPr>
      </w:pPr>
      <w:r w:rsidRPr="00B95615">
        <w:rPr>
          <w:szCs w:val="24"/>
        </w:rPr>
        <w:t>прогнозный от</w:t>
      </w:r>
      <w:r w:rsidR="00B95615" w:rsidRPr="00B95615">
        <w:rPr>
          <w:szCs w:val="24"/>
        </w:rPr>
        <w:t>чет о движении денежных средств;</w:t>
      </w:r>
    </w:p>
    <w:p w:rsidR="00B95615" w:rsidRPr="00B95615" w:rsidRDefault="006B09ED" w:rsidP="005A2DF3">
      <w:pPr>
        <w:numPr>
          <w:ilvl w:val="2"/>
          <w:numId w:val="3"/>
        </w:numPr>
        <w:spacing w:after="189" w:line="240" w:lineRule="auto"/>
        <w:ind w:left="0" w:right="14"/>
        <w:contextualSpacing/>
        <w:rPr>
          <w:szCs w:val="24"/>
        </w:rPr>
      </w:pPr>
      <w:r w:rsidRPr="00B95615">
        <w:rPr>
          <w:szCs w:val="24"/>
        </w:rPr>
        <w:t>прогнозный отчет о финансовых результатах</w:t>
      </w:r>
      <w:r w:rsidR="00B95615" w:rsidRPr="00B95615">
        <w:rPr>
          <w:szCs w:val="24"/>
        </w:rPr>
        <w:t>;</w:t>
      </w:r>
    </w:p>
    <w:p w:rsidR="00B95615" w:rsidRPr="00B95615" w:rsidRDefault="006B09ED" w:rsidP="005A2DF3">
      <w:pPr>
        <w:numPr>
          <w:ilvl w:val="2"/>
          <w:numId w:val="3"/>
        </w:numPr>
        <w:spacing w:after="189" w:line="240" w:lineRule="auto"/>
        <w:ind w:left="0" w:right="14"/>
        <w:contextualSpacing/>
        <w:rPr>
          <w:szCs w:val="24"/>
        </w:rPr>
      </w:pPr>
      <w:r w:rsidRPr="00B95615">
        <w:rPr>
          <w:szCs w:val="24"/>
        </w:rPr>
        <w:t xml:space="preserve">прогнозный баланс. </w:t>
      </w:r>
    </w:p>
    <w:p w:rsidR="00EA23F8" w:rsidRPr="007215CD" w:rsidRDefault="00B95615" w:rsidP="00BE233D">
      <w:pPr>
        <w:ind w:firstLine="706"/>
        <w:rPr>
          <w:szCs w:val="24"/>
        </w:rPr>
      </w:pPr>
      <w:r>
        <w:rPr>
          <w:szCs w:val="24"/>
        </w:rPr>
        <w:t>В</w:t>
      </w:r>
      <w:r w:rsidR="006B09ED" w:rsidRPr="007215CD">
        <w:rPr>
          <w:szCs w:val="24"/>
        </w:rPr>
        <w:t xml:space="preserve"> составе финансовой модели должны быть представлены рассчитанные финансовые показатели (коэффициенты)</w:t>
      </w:r>
      <w:r w:rsidR="00BE233D">
        <w:rPr>
          <w:szCs w:val="24"/>
        </w:rPr>
        <w:t xml:space="preserve"> </w:t>
      </w:r>
      <w:r w:rsidR="00BE233D" w:rsidRPr="00BE233D">
        <w:rPr>
          <w:szCs w:val="24"/>
        </w:rPr>
        <w:t>для прогноза «с проектом»</w:t>
      </w:r>
      <w:r w:rsidR="00BE233D">
        <w:rPr>
          <w:szCs w:val="24"/>
        </w:rPr>
        <w:t xml:space="preserve"> </w:t>
      </w:r>
      <w:r w:rsidR="00BE233D" w:rsidRPr="00BE233D">
        <w:rPr>
          <w:szCs w:val="24"/>
        </w:rPr>
        <w:t>и прогноза «без проекта»</w:t>
      </w:r>
      <w:r w:rsidR="006B09ED" w:rsidRPr="007215CD">
        <w:rPr>
          <w:szCs w:val="24"/>
        </w:rPr>
        <w:t>. Требования к финансовым показателям (коэффициентам) представлены в п.З.2 настоящих Рекомендаций</w:t>
      </w:r>
      <w:r>
        <w:rPr>
          <w:szCs w:val="24"/>
        </w:rPr>
        <w:t>.</w:t>
      </w:r>
    </w:p>
    <w:p w:rsidR="00EA23F8" w:rsidRPr="007215CD" w:rsidRDefault="00B95615" w:rsidP="00B95615">
      <w:pPr>
        <w:spacing w:after="189" w:line="240" w:lineRule="auto"/>
        <w:ind w:left="0" w:right="14" w:firstLine="709"/>
        <w:contextualSpacing/>
        <w:rPr>
          <w:szCs w:val="24"/>
        </w:rPr>
      </w:pPr>
      <w:r>
        <w:rPr>
          <w:szCs w:val="24"/>
        </w:rPr>
        <w:t>Д</w:t>
      </w:r>
      <w:r w:rsidR="006B09ED" w:rsidRPr="007215CD">
        <w:rPr>
          <w:szCs w:val="24"/>
        </w:rPr>
        <w:t xml:space="preserve">исконтированный период окупаемости проекта </w:t>
      </w:r>
      <w:r w:rsidR="006B09ED" w:rsidRPr="0007268A">
        <w:rPr>
          <w:szCs w:val="24"/>
        </w:rPr>
        <w:t>(</w:t>
      </w:r>
      <w:proofErr w:type="spellStart"/>
      <w:r w:rsidR="006B09ED" w:rsidRPr="0007268A">
        <w:rPr>
          <w:szCs w:val="24"/>
        </w:rPr>
        <w:t>DPBPproject</w:t>
      </w:r>
      <w:proofErr w:type="spellEnd"/>
      <w:r w:rsidR="006B09ED" w:rsidRPr="0007268A">
        <w:rPr>
          <w:szCs w:val="24"/>
        </w:rPr>
        <w:t>)</w:t>
      </w:r>
      <w:r w:rsidR="006B09ED" w:rsidRPr="007215CD">
        <w:rPr>
          <w:szCs w:val="24"/>
        </w:rPr>
        <w:t xml:space="preserve"> рассчитывается на основе денежных потоков по прогнозу «с проектом» за вычетом денежных потоков по прогнозу «без проекта»</w:t>
      </w:r>
      <w:r>
        <w:rPr>
          <w:szCs w:val="24"/>
        </w:rPr>
        <w:t>.</w:t>
      </w:r>
    </w:p>
    <w:p w:rsidR="00EA23F8" w:rsidRPr="007215CD" w:rsidRDefault="006B09ED" w:rsidP="00B95615">
      <w:pPr>
        <w:spacing w:after="189" w:line="240" w:lineRule="auto"/>
        <w:ind w:left="0" w:right="14" w:firstLine="709"/>
        <w:contextualSpacing/>
        <w:rPr>
          <w:szCs w:val="24"/>
        </w:rPr>
      </w:pPr>
      <w:r w:rsidRPr="007215CD">
        <w:rPr>
          <w:szCs w:val="24"/>
        </w:rPr>
        <w:t xml:space="preserve">Чистая приведённая стоимость проекта </w:t>
      </w:r>
      <w:r w:rsidRPr="0007268A">
        <w:rPr>
          <w:szCs w:val="24"/>
        </w:rPr>
        <w:t>(</w:t>
      </w:r>
      <w:proofErr w:type="spellStart"/>
      <w:r w:rsidRPr="0007268A">
        <w:rPr>
          <w:szCs w:val="24"/>
        </w:rPr>
        <w:t>NPVproject</w:t>
      </w:r>
      <w:proofErr w:type="spellEnd"/>
      <w:r w:rsidRPr="0007268A">
        <w:rPr>
          <w:szCs w:val="24"/>
        </w:rPr>
        <w:t>)</w:t>
      </w:r>
      <w:r w:rsidRPr="007215CD">
        <w:rPr>
          <w:szCs w:val="24"/>
        </w:rPr>
        <w:t xml:space="preserve"> рассчитывается на основе свободного денежного потока, связанного исключительно с реализацией проекта</w:t>
      </w:r>
      <w:r w:rsidR="00B95615">
        <w:rPr>
          <w:szCs w:val="24"/>
        </w:rPr>
        <w:t>.</w:t>
      </w:r>
    </w:p>
    <w:p w:rsidR="007215CD" w:rsidRDefault="007215CD">
      <w:pPr>
        <w:spacing w:after="160" w:line="259" w:lineRule="auto"/>
        <w:ind w:left="0" w:firstLine="0"/>
        <w:jc w:val="left"/>
        <w:rPr>
          <w:szCs w:val="24"/>
        </w:rPr>
      </w:pPr>
      <w:r>
        <w:rPr>
          <w:szCs w:val="24"/>
        </w:rPr>
        <w:br w:type="page"/>
      </w:r>
    </w:p>
    <w:p w:rsidR="00EA23F8" w:rsidRPr="00CE5558" w:rsidRDefault="006B09ED" w:rsidP="00CE5558">
      <w:pPr>
        <w:pStyle w:val="a3"/>
        <w:numPr>
          <w:ilvl w:val="0"/>
          <w:numId w:val="5"/>
        </w:numPr>
        <w:spacing w:line="240" w:lineRule="auto"/>
        <w:ind w:left="0" w:right="14"/>
        <w:rPr>
          <w:b/>
          <w:szCs w:val="24"/>
        </w:rPr>
      </w:pPr>
      <w:r w:rsidRPr="00CE5558">
        <w:rPr>
          <w:b/>
          <w:szCs w:val="24"/>
        </w:rPr>
        <w:t>ОЦЕНКА УСТОЙЧИВОСТИ ФИНАНСОВЫХ ПОКАЗАТЕЛЕЙ (КОЭФФИЦИЕНТОВ)</w:t>
      </w:r>
    </w:p>
    <w:p w:rsidR="00AC20D0" w:rsidRDefault="00AC20D0" w:rsidP="00B95615">
      <w:pPr>
        <w:spacing w:after="189" w:line="240" w:lineRule="auto"/>
        <w:ind w:left="0" w:right="14" w:firstLine="709"/>
        <w:contextualSpacing/>
        <w:rPr>
          <w:szCs w:val="24"/>
        </w:rPr>
      </w:pPr>
    </w:p>
    <w:p w:rsidR="00EA23F8" w:rsidRPr="007215CD" w:rsidRDefault="006B09ED" w:rsidP="00B95615">
      <w:pPr>
        <w:spacing w:after="189" w:line="240" w:lineRule="auto"/>
        <w:ind w:left="0" w:right="14" w:firstLine="709"/>
        <w:contextualSpacing/>
        <w:rPr>
          <w:szCs w:val="24"/>
        </w:rPr>
      </w:pPr>
      <w:r w:rsidRPr="007215CD">
        <w:rPr>
          <w:szCs w:val="24"/>
        </w:rPr>
        <w:t xml:space="preserve">Для оценки устойчивости финансовых показателей (коэффициентов) применяется метод анализа чувствительности оценки степени воздействия изменения ключевых факторов чувствительности на результаты финансовых прогнозов (с использованием функции </w:t>
      </w:r>
      <w:proofErr w:type="spellStart"/>
      <w:r w:rsidRPr="00B95615">
        <w:rPr>
          <w:szCs w:val="24"/>
        </w:rPr>
        <w:t>Microsoft</w:t>
      </w:r>
      <w:proofErr w:type="spellEnd"/>
      <w:r w:rsidRPr="00B95615">
        <w:rPr>
          <w:szCs w:val="24"/>
        </w:rPr>
        <w:t xml:space="preserve"> </w:t>
      </w:r>
      <w:proofErr w:type="spellStart"/>
      <w:r w:rsidRPr="00B95615">
        <w:rPr>
          <w:szCs w:val="24"/>
        </w:rPr>
        <w:t>Excel</w:t>
      </w:r>
      <w:proofErr w:type="spellEnd"/>
      <w:r w:rsidRPr="00B95615">
        <w:rPr>
          <w:b/>
          <w:szCs w:val="24"/>
        </w:rPr>
        <w:t xml:space="preserve"> «Таблица </w:t>
      </w:r>
      <w:r w:rsidR="00CE5558" w:rsidRPr="00B95615">
        <w:rPr>
          <w:b/>
          <w:szCs w:val="24"/>
        </w:rPr>
        <w:t xml:space="preserve">данных/ </w:t>
      </w:r>
      <w:proofErr w:type="spellStart"/>
      <w:r w:rsidR="00CE5558" w:rsidRPr="00B95615">
        <w:rPr>
          <w:b/>
          <w:szCs w:val="24"/>
        </w:rPr>
        <w:t>Data</w:t>
      </w:r>
      <w:proofErr w:type="spellEnd"/>
      <w:r w:rsidR="00CE5558" w:rsidRPr="00B95615">
        <w:rPr>
          <w:b/>
          <w:szCs w:val="24"/>
        </w:rPr>
        <w:t xml:space="preserve"> </w:t>
      </w:r>
      <w:proofErr w:type="spellStart"/>
      <w:r w:rsidRPr="00B95615">
        <w:rPr>
          <w:b/>
          <w:szCs w:val="24"/>
        </w:rPr>
        <w:t>Table</w:t>
      </w:r>
      <w:proofErr w:type="spellEnd"/>
      <w:r w:rsidR="00217BB8">
        <w:rPr>
          <w:b/>
          <w:szCs w:val="24"/>
        </w:rPr>
        <w:t>»</w:t>
      </w:r>
      <w:r w:rsidRPr="007215CD">
        <w:rPr>
          <w:szCs w:val="24"/>
        </w:rPr>
        <w:t>).</w:t>
      </w:r>
    </w:p>
    <w:p w:rsidR="00EA23F8" w:rsidRPr="007215CD" w:rsidRDefault="006B09ED" w:rsidP="00B95615">
      <w:pPr>
        <w:spacing w:after="189" w:line="240" w:lineRule="auto"/>
        <w:ind w:left="0" w:right="14" w:firstLine="709"/>
        <w:contextualSpacing/>
        <w:rPr>
          <w:szCs w:val="24"/>
        </w:rPr>
      </w:pPr>
      <w:r w:rsidRPr="007215CD">
        <w:rPr>
          <w:szCs w:val="24"/>
        </w:rPr>
        <w:t>К ключевым факторам чувствительности относятся исходные данные (допущения) финансовой модели, фактические значения которых в ходе реализации проекта (ввиду невозможности их точной оценки и/или присущей им волатильности) могут значительно отклониться от значений, заложенных в финансовую модель. В обязательном порядке необходимо провести анализ чувствительности к изменению следующих параметров:</w:t>
      </w:r>
    </w:p>
    <w:p w:rsidR="00B95615" w:rsidRDefault="006B09ED" w:rsidP="00CE5558">
      <w:pPr>
        <w:numPr>
          <w:ilvl w:val="2"/>
          <w:numId w:val="3"/>
        </w:numPr>
        <w:spacing w:after="189" w:line="240" w:lineRule="auto"/>
        <w:ind w:left="0" w:right="14"/>
        <w:contextualSpacing/>
        <w:rPr>
          <w:szCs w:val="24"/>
        </w:rPr>
      </w:pPr>
      <w:r w:rsidRPr="007215CD">
        <w:rPr>
          <w:szCs w:val="24"/>
        </w:rPr>
        <w:t xml:space="preserve">цены на готовую продукцию/тарифы на услуги; </w:t>
      </w:r>
    </w:p>
    <w:p w:rsidR="00B95615" w:rsidRDefault="006B09ED" w:rsidP="00CE5558">
      <w:pPr>
        <w:numPr>
          <w:ilvl w:val="2"/>
          <w:numId w:val="3"/>
        </w:numPr>
        <w:spacing w:after="189" w:line="240" w:lineRule="auto"/>
        <w:ind w:left="0" w:right="14"/>
        <w:contextualSpacing/>
        <w:rPr>
          <w:szCs w:val="24"/>
        </w:rPr>
      </w:pPr>
      <w:r w:rsidRPr="007215CD">
        <w:rPr>
          <w:szCs w:val="24"/>
        </w:rPr>
        <w:t xml:space="preserve">объем производства/продаж; </w:t>
      </w:r>
    </w:p>
    <w:p w:rsidR="00B95615" w:rsidRDefault="006B09ED" w:rsidP="00CE5558">
      <w:pPr>
        <w:numPr>
          <w:ilvl w:val="2"/>
          <w:numId w:val="3"/>
        </w:numPr>
        <w:spacing w:after="189" w:line="240" w:lineRule="auto"/>
        <w:ind w:left="0" w:right="14"/>
        <w:contextualSpacing/>
        <w:rPr>
          <w:szCs w:val="24"/>
        </w:rPr>
      </w:pPr>
      <w:r w:rsidRPr="007215CD">
        <w:rPr>
          <w:szCs w:val="24"/>
        </w:rPr>
        <w:t xml:space="preserve">объем капитальных затрат; </w:t>
      </w:r>
    </w:p>
    <w:p w:rsidR="00B95615" w:rsidRDefault="006B09ED" w:rsidP="00CE5558">
      <w:pPr>
        <w:numPr>
          <w:ilvl w:val="2"/>
          <w:numId w:val="3"/>
        </w:numPr>
        <w:spacing w:after="189" w:line="240" w:lineRule="auto"/>
        <w:ind w:left="0" w:right="14"/>
        <w:contextualSpacing/>
        <w:rPr>
          <w:szCs w:val="24"/>
        </w:rPr>
      </w:pPr>
      <w:r w:rsidRPr="007215CD">
        <w:rPr>
          <w:szCs w:val="24"/>
        </w:rPr>
        <w:t xml:space="preserve">цены на ключевые ресурсы (например, основное сырьё и материалы); </w:t>
      </w:r>
    </w:p>
    <w:p w:rsidR="00B95615" w:rsidRDefault="006B09ED" w:rsidP="00CE5558">
      <w:pPr>
        <w:numPr>
          <w:ilvl w:val="2"/>
          <w:numId w:val="3"/>
        </w:numPr>
        <w:spacing w:after="189" w:line="240" w:lineRule="auto"/>
        <w:ind w:left="0" w:right="14"/>
        <w:contextualSpacing/>
        <w:rPr>
          <w:szCs w:val="24"/>
        </w:rPr>
      </w:pPr>
      <w:r w:rsidRPr="007215CD">
        <w:rPr>
          <w:szCs w:val="24"/>
        </w:rPr>
        <w:t xml:space="preserve">курсы валют (если применимо к проекту); </w:t>
      </w:r>
    </w:p>
    <w:p w:rsidR="00D52012" w:rsidRDefault="00D52012" w:rsidP="00B95615">
      <w:pPr>
        <w:spacing w:after="189" w:line="240" w:lineRule="auto"/>
        <w:ind w:left="0" w:right="14" w:firstLine="709"/>
        <w:contextualSpacing/>
        <w:rPr>
          <w:szCs w:val="24"/>
        </w:rPr>
      </w:pPr>
    </w:p>
    <w:p w:rsidR="00B95615" w:rsidRDefault="006B09ED" w:rsidP="00B95615">
      <w:pPr>
        <w:spacing w:after="189" w:line="240" w:lineRule="auto"/>
        <w:ind w:left="0" w:right="14" w:firstLine="709"/>
        <w:contextualSpacing/>
        <w:rPr>
          <w:szCs w:val="24"/>
        </w:rPr>
      </w:pPr>
      <w:r w:rsidRPr="007215CD">
        <w:rPr>
          <w:szCs w:val="24"/>
        </w:rPr>
        <w:t xml:space="preserve">К основным результатам финансовых прогнозов, волатильность которых должна быть измерена в ходе анализа чувствительности, относятся: </w:t>
      </w:r>
    </w:p>
    <w:p w:rsidR="00B95615" w:rsidRPr="003D7524" w:rsidRDefault="006B09ED" w:rsidP="00B95615">
      <w:pPr>
        <w:numPr>
          <w:ilvl w:val="2"/>
          <w:numId w:val="3"/>
        </w:numPr>
        <w:spacing w:after="189" w:line="240" w:lineRule="auto"/>
        <w:ind w:left="0" w:right="14"/>
        <w:contextualSpacing/>
        <w:rPr>
          <w:szCs w:val="24"/>
        </w:rPr>
      </w:pPr>
      <w:proofErr w:type="spellStart"/>
      <w:r w:rsidRPr="003D7524">
        <w:rPr>
          <w:szCs w:val="24"/>
        </w:rPr>
        <w:t>NPVproject</w:t>
      </w:r>
      <w:proofErr w:type="spellEnd"/>
      <w:r w:rsidRPr="003D7524">
        <w:rPr>
          <w:szCs w:val="24"/>
        </w:rPr>
        <w:t xml:space="preserve">; </w:t>
      </w:r>
    </w:p>
    <w:p w:rsidR="00EA23F8" w:rsidRPr="00D52012" w:rsidRDefault="006B09ED" w:rsidP="00D52012">
      <w:pPr>
        <w:numPr>
          <w:ilvl w:val="2"/>
          <w:numId w:val="3"/>
        </w:numPr>
        <w:spacing w:after="189" w:line="240" w:lineRule="auto"/>
        <w:ind w:left="0" w:right="14"/>
        <w:contextualSpacing/>
        <w:rPr>
          <w:szCs w:val="24"/>
        </w:rPr>
      </w:pPr>
      <w:proofErr w:type="spellStart"/>
      <w:r w:rsidRPr="003D7524">
        <w:rPr>
          <w:szCs w:val="24"/>
        </w:rPr>
        <w:t>IRRproject</w:t>
      </w:r>
      <w:proofErr w:type="spellEnd"/>
      <w:r w:rsidRPr="003D7524">
        <w:rPr>
          <w:szCs w:val="24"/>
        </w:rPr>
        <w:t>.</w:t>
      </w:r>
    </w:p>
    <w:sectPr w:rsidR="00EA23F8" w:rsidRPr="00D52012" w:rsidSect="008170C6"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648" w:right="560" w:bottom="851" w:left="1134" w:header="720" w:footer="4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D09" w:rsidRDefault="00D14D09">
      <w:pPr>
        <w:spacing w:after="0" w:line="240" w:lineRule="auto"/>
      </w:pPr>
      <w:r>
        <w:separator/>
      </w:r>
    </w:p>
  </w:endnote>
  <w:endnote w:type="continuationSeparator" w:id="0">
    <w:p w:rsidR="00D14D09" w:rsidRDefault="00D1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F1" w:rsidRDefault="002B12F1">
    <w:pPr>
      <w:spacing w:after="0" w:line="259" w:lineRule="auto"/>
      <w:ind w:left="0" w:right="4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60A8" w:rsidRPr="006E60A8">
      <w:rPr>
        <w:noProof/>
        <w:sz w:val="32"/>
      </w:rPr>
      <w:t>2</w:t>
    </w:r>
    <w:r>
      <w:rPr>
        <w:sz w:val="3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713527"/>
      <w:docPartObj>
        <w:docPartGallery w:val="Page Numbers (Bottom of Page)"/>
        <w:docPartUnique/>
      </w:docPartObj>
    </w:sdtPr>
    <w:sdtEndPr/>
    <w:sdtContent>
      <w:p w:rsidR="008170C6" w:rsidRDefault="008170C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0A8">
          <w:rPr>
            <w:noProof/>
          </w:rPr>
          <w:t>1</w:t>
        </w:r>
        <w:r>
          <w:fldChar w:fldCharType="end"/>
        </w:r>
      </w:p>
    </w:sdtContent>
  </w:sdt>
  <w:p w:rsidR="008170C6" w:rsidRDefault="008170C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F1" w:rsidRDefault="002B12F1">
    <w:pPr>
      <w:spacing w:after="0" w:line="259" w:lineRule="auto"/>
      <w:ind w:left="0" w:right="4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2"/>
      </w:rPr>
      <w:t>5</w:t>
    </w:r>
    <w:r>
      <w:rPr>
        <w:sz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D09" w:rsidRDefault="00D14D09">
      <w:pPr>
        <w:spacing w:after="0" w:line="223" w:lineRule="auto"/>
        <w:ind w:left="0" w:right="288" w:firstLine="7"/>
        <w:jc w:val="left"/>
      </w:pPr>
      <w:r>
        <w:separator/>
      </w:r>
    </w:p>
  </w:footnote>
  <w:footnote w:type="continuationSeparator" w:id="0">
    <w:p w:rsidR="00D14D09" w:rsidRDefault="00D14D09">
      <w:pPr>
        <w:spacing w:after="0" w:line="223" w:lineRule="auto"/>
        <w:ind w:left="0" w:right="288" w:firstLine="7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F1" w:rsidRDefault="002B12F1">
    <w:pPr>
      <w:spacing w:after="0" w:line="259" w:lineRule="auto"/>
      <w:ind w:left="770" w:firstLine="0"/>
      <w:jc w:val="left"/>
    </w:pPr>
    <w:proofErr w:type="spellStart"/>
    <w:r>
      <w:rPr>
        <w:sz w:val="58"/>
      </w:rPr>
      <w:t>фрп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6" style="width:7.5pt;height:6.75pt" coordsize="" o:spt="100" o:bullet="t" adj="0,,0" path="" stroked="f">
        <v:stroke joinstyle="miter"/>
        <v:imagedata r:id="rId1" o:title="image50"/>
        <v:formulas/>
        <v:path o:connecttype="segments"/>
      </v:shape>
    </w:pict>
  </w:numPicBullet>
  <w:numPicBullet w:numPicBulletId="1">
    <w:pict>
      <v:shape id="_x0000_i1027" style="width:7.5pt;height:7.5pt" coordsize="" o:spt="100" o:bullet="t" adj="0,,0" path="" stroked="f">
        <v:stroke joinstyle="miter"/>
        <v:imagedata r:id="rId2" o:title="image51"/>
        <v:formulas/>
        <v:path o:connecttype="segments"/>
      </v:shape>
    </w:pict>
  </w:numPicBullet>
  <w:numPicBullet w:numPicBulletId="2">
    <w:pict>
      <v:shape id="_x0000_i1028" style="width:14.25pt;height:7.5pt" coordsize="" o:spt="100" o:bullet="t" adj="0,,0" path="" stroked="f">
        <v:stroke joinstyle="miter"/>
        <v:imagedata r:id="rId3" o:title="image52"/>
        <v:formulas/>
        <v:path o:connecttype="segments"/>
      </v:shape>
    </w:pict>
  </w:numPicBullet>
  <w:abstractNum w:abstractNumId="0">
    <w:nsid w:val="006308F7"/>
    <w:multiLevelType w:val="hybridMultilevel"/>
    <w:tmpl w:val="1AB270C6"/>
    <w:lvl w:ilvl="0" w:tplc="D65E4F24">
      <w:start w:val="1"/>
      <w:numFmt w:val="bullet"/>
      <w:lvlText w:val="•"/>
      <w:lvlPicBulletId w:val="2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5EE3CC">
      <w:start w:val="1"/>
      <w:numFmt w:val="bullet"/>
      <w:lvlText w:val="o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4BD32">
      <w:start w:val="1"/>
      <w:numFmt w:val="bullet"/>
      <w:lvlText w:val="▪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64D04A">
      <w:start w:val="1"/>
      <w:numFmt w:val="bullet"/>
      <w:lvlText w:val="•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9C0650">
      <w:start w:val="1"/>
      <w:numFmt w:val="bullet"/>
      <w:lvlText w:val="o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72D934">
      <w:start w:val="1"/>
      <w:numFmt w:val="bullet"/>
      <w:lvlText w:val="▪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4447A0">
      <w:start w:val="1"/>
      <w:numFmt w:val="bullet"/>
      <w:lvlText w:val="•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D07144">
      <w:start w:val="1"/>
      <w:numFmt w:val="bullet"/>
      <w:lvlText w:val="o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42C7D4">
      <w:start w:val="1"/>
      <w:numFmt w:val="bullet"/>
      <w:lvlText w:val="▪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331B41"/>
    <w:multiLevelType w:val="multilevel"/>
    <w:tmpl w:val="9186534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384DEF"/>
    <w:multiLevelType w:val="hybridMultilevel"/>
    <w:tmpl w:val="35A66C16"/>
    <w:lvl w:ilvl="0" w:tplc="1856E4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F05EDCB8">
      <w:start w:val="1"/>
      <w:numFmt w:val="bullet"/>
      <w:lvlText w:val="o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FA46E29C">
      <w:start w:val="1"/>
      <w:numFmt w:val="bullet"/>
      <w:lvlRestart w:val="0"/>
      <w:lvlText w:val="•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137E2F86">
      <w:start w:val="1"/>
      <w:numFmt w:val="bullet"/>
      <w:lvlText w:val="•"/>
      <w:lvlJc w:val="left"/>
      <w:pPr>
        <w:ind w:left="1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B18CB416">
      <w:start w:val="1"/>
      <w:numFmt w:val="bullet"/>
      <w:lvlText w:val="o"/>
      <w:lvlJc w:val="left"/>
      <w:pPr>
        <w:ind w:left="2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648EFD9A">
      <w:start w:val="1"/>
      <w:numFmt w:val="bullet"/>
      <w:lvlText w:val="▪"/>
      <w:lvlJc w:val="left"/>
      <w:pPr>
        <w:ind w:left="3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84A66708">
      <w:start w:val="1"/>
      <w:numFmt w:val="bullet"/>
      <w:lvlText w:val="•"/>
      <w:lvlJc w:val="left"/>
      <w:pPr>
        <w:ind w:left="3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3E1C2D9A">
      <w:start w:val="1"/>
      <w:numFmt w:val="bullet"/>
      <w:lvlText w:val="o"/>
      <w:lvlJc w:val="left"/>
      <w:pPr>
        <w:ind w:left="4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F530E30C">
      <w:start w:val="1"/>
      <w:numFmt w:val="bullet"/>
      <w:lvlText w:val="▪"/>
      <w:lvlJc w:val="left"/>
      <w:pPr>
        <w:ind w:left="5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166609"/>
    <w:multiLevelType w:val="hybridMultilevel"/>
    <w:tmpl w:val="817C0A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702C0"/>
    <w:multiLevelType w:val="hybridMultilevel"/>
    <w:tmpl w:val="7EFE7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1561A"/>
    <w:multiLevelType w:val="hybridMultilevel"/>
    <w:tmpl w:val="817C0A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91B3D"/>
    <w:multiLevelType w:val="hybridMultilevel"/>
    <w:tmpl w:val="40D8F1EE"/>
    <w:lvl w:ilvl="0" w:tplc="D60E87A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C142AC96">
      <w:start w:val="1"/>
      <w:numFmt w:val="bullet"/>
      <w:lvlText w:val="o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636CAD90">
      <w:start w:val="1"/>
      <w:numFmt w:val="bullet"/>
      <w:lvlRestart w:val="0"/>
      <w:lvlText w:val="•"/>
      <w:lvlJc w:val="left"/>
      <w:pPr>
        <w:ind w:left="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03589C42">
      <w:start w:val="1"/>
      <w:numFmt w:val="bullet"/>
      <w:lvlText w:val="•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F912B732">
      <w:start w:val="1"/>
      <w:numFmt w:val="bullet"/>
      <w:lvlText w:val="o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84EE15E8">
      <w:start w:val="1"/>
      <w:numFmt w:val="bullet"/>
      <w:lvlText w:val="▪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B68EF40A">
      <w:start w:val="1"/>
      <w:numFmt w:val="bullet"/>
      <w:lvlText w:val="•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AF283D66">
      <w:start w:val="1"/>
      <w:numFmt w:val="bullet"/>
      <w:lvlText w:val="o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02C482CA">
      <w:start w:val="1"/>
      <w:numFmt w:val="bullet"/>
      <w:lvlText w:val="▪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48868DE"/>
    <w:multiLevelType w:val="hybridMultilevel"/>
    <w:tmpl w:val="817C0A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21017"/>
    <w:multiLevelType w:val="hybridMultilevel"/>
    <w:tmpl w:val="F8742096"/>
    <w:lvl w:ilvl="0" w:tplc="9260084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7E1A4BDA">
      <w:start w:val="1"/>
      <w:numFmt w:val="bullet"/>
      <w:lvlText w:val="o"/>
      <w:lvlJc w:val="left"/>
      <w:pPr>
        <w:ind w:left="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63E60C22">
      <w:start w:val="1"/>
      <w:numFmt w:val="bullet"/>
      <w:lvlRestart w:val="0"/>
      <w:lvlText w:val="•"/>
      <w:lvlJc w:val="left"/>
      <w:pPr>
        <w:ind w:left="1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BD72416E">
      <w:start w:val="1"/>
      <w:numFmt w:val="bullet"/>
      <w:lvlText w:val="•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87AC6A94">
      <w:start w:val="1"/>
      <w:numFmt w:val="bullet"/>
      <w:lvlText w:val="o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4B6E0D2E">
      <w:start w:val="1"/>
      <w:numFmt w:val="bullet"/>
      <w:lvlText w:val="▪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EA264074">
      <w:start w:val="1"/>
      <w:numFmt w:val="bullet"/>
      <w:lvlText w:val="•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286E7BEA">
      <w:start w:val="1"/>
      <w:numFmt w:val="bullet"/>
      <w:lvlText w:val="o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4404AF56">
      <w:start w:val="1"/>
      <w:numFmt w:val="bullet"/>
      <w:lvlText w:val="▪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68A54AB"/>
    <w:multiLevelType w:val="hybridMultilevel"/>
    <w:tmpl w:val="B7ACDC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C6B6A"/>
    <w:multiLevelType w:val="hybridMultilevel"/>
    <w:tmpl w:val="39EA3F3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97B3120"/>
    <w:multiLevelType w:val="multilevel"/>
    <w:tmpl w:val="F528B2A0"/>
    <w:lvl w:ilvl="0">
      <w:start w:val="4"/>
      <w:numFmt w:val="decimal"/>
      <w:lvlText w:val="%1."/>
      <w:lvlJc w:val="left"/>
      <w:pPr>
        <w:ind w:left="4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6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AFC7B91"/>
    <w:multiLevelType w:val="hybridMultilevel"/>
    <w:tmpl w:val="7EF03810"/>
    <w:lvl w:ilvl="0" w:tplc="1DFEE0F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3B0EC6E">
      <w:start w:val="1"/>
      <w:numFmt w:val="bullet"/>
      <w:lvlText w:val="o"/>
      <w:lvlJc w:val="left"/>
      <w:pPr>
        <w:ind w:left="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C5EBCDC">
      <w:start w:val="1"/>
      <w:numFmt w:val="bullet"/>
      <w:lvlText w:val="▪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12A0F00">
      <w:start w:val="1"/>
      <w:numFmt w:val="bullet"/>
      <w:lvlRestart w:val="0"/>
      <w:lvlText w:val="•"/>
      <w:lvlPicBulletId w:val="0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5CC0040">
      <w:start w:val="1"/>
      <w:numFmt w:val="bullet"/>
      <w:lvlText w:val="o"/>
      <w:lvlJc w:val="left"/>
      <w:pPr>
        <w:ind w:left="1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5AA6D48">
      <w:start w:val="1"/>
      <w:numFmt w:val="bullet"/>
      <w:lvlText w:val="▪"/>
      <w:lvlJc w:val="left"/>
      <w:pPr>
        <w:ind w:left="2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BF2AAC4">
      <w:start w:val="1"/>
      <w:numFmt w:val="bullet"/>
      <w:lvlText w:val="•"/>
      <w:lvlJc w:val="left"/>
      <w:pPr>
        <w:ind w:left="3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BFE29EE">
      <w:start w:val="1"/>
      <w:numFmt w:val="bullet"/>
      <w:lvlText w:val="o"/>
      <w:lvlJc w:val="left"/>
      <w:pPr>
        <w:ind w:left="3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E34A15A">
      <w:start w:val="1"/>
      <w:numFmt w:val="bullet"/>
      <w:lvlText w:val="▪"/>
      <w:lvlJc w:val="left"/>
      <w:pPr>
        <w:ind w:left="4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D4B7339"/>
    <w:multiLevelType w:val="hybridMultilevel"/>
    <w:tmpl w:val="817C0A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364809"/>
    <w:multiLevelType w:val="hybridMultilevel"/>
    <w:tmpl w:val="AF28200C"/>
    <w:lvl w:ilvl="0" w:tplc="0419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5">
    <w:nsid w:val="22F41626"/>
    <w:multiLevelType w:val="hybridMultilevel"/>
    <w:tmpl w:val="817C0A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F4A1C"/>
    <w:multiLevelType w:val="hybridMultilevel"/>
    <w:tmpl w:val="817C0A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AB18F9"/>
    <w:multiLevelType w:val="hybridMultilevel"/>
    <w:tmpl w:val="817C0A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863CD"/>
    <w:multiLevelType w:val="hybridMultilevel"/>
    <w:tmpl w:val="817C0A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53A69"/>
    <w:multiLevelType w:val="hybridMultilevel"/>
    <w:tmpl w:val="817C0A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384C2F"/>
    <w:multiLevelType w:val="hybridMultilevel"/>
    <w:tmpl w:val="F272882A"/>
    <w:lvl w:ilvl="0" w:tplc="50227AF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006234">
      <w:start w:val="1"/>
      <w:numFmt w:val="bullet"/>
      <w:lvlText w:val="o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8C59E2">
      <w:start w:val="1"/>
      <w:numFmt w:val="bullet"/>
      <w:lvlText w:val="▪"/>
      <w:lvlJc w:val="left"/>
      <w:pPr>
        <w:ind w:left="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38C98E">
      <w:start w:val="1"/>
      <w:numFmt w:val="bullet"/>
      <w:lvlRestart w:val="0"/>
      <w:lvlText w:val="•"/>
      <w:lvlPicBulletId w:val="1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EC1AE2">
      <w:start w:val="1"/>
      <w:numFmt w:val="bullet"/>
      <w:lvlText w:val="o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04F9EC">
      <w:start w:val="1"/>
      <w:numFmt w:val="bullet"/>
      <w:lvlText w:val="▪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4EF066">
      <w:start w:val="1"/>
      <w:numFmt w:val="bullet"/>
      <w:lvlText w:val="•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84C0EE">
      <w:start w:val="1"/>
      <w:numFmt w:val="bullet"/>
      <w:lvlText w:val="o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68609E">
      <w:start w:val="1"/>
      <w:numFmt w:val="bullet"/>
      <w:lvlText w:val="▪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8592414"/>
    <w:multiLevelType w:val="hybridMultilevel"/>
    <w:tmpl w:val="817C0A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0279F"/>
    <w:multiLevelType w:val="hybridMultilevel"/>
    <w:tmpl w:val="817C0A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805213"/>
    <w:multiLevelType w:val="hybridMultilevel"/>
    <w:tmpl w:val="817C0A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840CD"/>
    <w:multiLevelType w:val="hybridMultilevel"/>
    <w:tmpl w:val="743A683E"/>
    <w:lvl w:ilvl="0" w:tplc="0419001B">
      <w:start w:val="1"/>
      <w:numFmt w:val="low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3A465B0"/>
    <w:multiLevelType w:val="hybridMultilevel"/>
    <w:tmpl w:val="D6922EB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7957AE2"/>
    <w:multiLevelType w:val="hybridMultilevel"/>
    <w:tmpl w:val="E0F49232"/>
    <w:lvl w:ilvl="0" w:tplc="2C6C9E5C">
      <w:start w:val="1"/>
      <w:numFmt w:val="bullet"/>
      <w:lvlText w:val="•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C20CC20A">
      <w:start w:val="1"/>
      <w:numFmt w:val="bullet"/>
      <w:lvlText w:val="o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626D6A6">
      <w:start w:val="1"/>
      <w:numFmt w:val="bullet"/>
      <w:lvlText w:val="▪"/>
      <w:lvlJc w:val="left"/>
      <w:pPr>
        <w:ind w:left="2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216EE234">
      <w:start w:val="1"/>
      <w:numFmt w:val="bullet"/>
      <w:lvlText w:val="•"/>
      <w:lvlJc w:val="left"/>
      <w:pPr>
        <w:ind w:left="2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97A4D9E0">
      <w:start w:val="1"/>
      <w:numFmt w:val="bullet"/>
      <w:lvlText w:val="o"/>
      <w:lvlJc w:val="left"/>
      <w:pPr>
        <w:ind w:left="3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EBF00124">
      <w:start w:val="1"/>
      <w:numFmt w:val="bullet"/>
      <w:lvlText w:val="▪"/>
      <w:lvlJc w:val="left"/>
      <w:pPr>
        <w:ind w:left="4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1F6A8364">
      <w:start w:val="1"/>
      <w:numFmt w:val="bullet"/>
      <w:lvlText w:val="•"/>
      <w:lvlJc w:val="left"/>
      <w:pPr>
        <w:ind w:left="5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0476674A">
      <w:start w:val="1"/>
      <w:numFmt w:val="bullet"/>
      <w:lvlText w:val="o"/>
      <w:lvlJc w:val="left"/>
      <w:pPr>
        <w:ind w:left="5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F03008A0">
      <w:start w:val="1"/>
      <w:numFmt w:val="bullet"/>
      <w:lvlText w:val="▪"/>
      <w:lvlJc w:val="left"/>
      <w:pPr>
        <w:ind w:left="6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D4B1756"/>
    <w:multiLevelType w:val="hybridMultilevel"/>
    <w:tmpl w:val="817C0A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4F0925"/>
    <w:multiLevelType w:val="hybridMultilevel"/>
    <w:tmpl w:val="817C0A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413981"/>
    <w:multiLevelType w:val="hybridMultilevel"/>
    <w:tmpl w:val="3C8EA248"/>
    <w:lvl w:ilvl="0" w:tplc="0FF2F614">
      <w:start w:val="1"/>
      <w:numFmt w:val="decimal"/>
      <w:lvlText w:val="%1."/>
      <w:lvlJc w:val="left"/>
      <w:pPr>
        <w:ind w:left="11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092E548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A6CFC58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4349480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7F8F5DC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627188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54AD78C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3A8A034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4E6C940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090221C"/>
    <w:multiLevelType w:val="multilevel"/>
    <w:tmpl w:val="690449E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6BD7164"/>
    <w:multiLevelType w:val="hybridMultilevel"/>
    <w:tmpl w:val="817C0A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F85DF9"/>
    <w:multiLevelType w:val="hybridMultilevel"/>
    <w:tmpl w:val="BCEAFB8E"/>
    <w:lvl w:ilvl="0" w:tplc="36BE643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90E2AB30">
      <w:start w:val="1"/>
      <w:numFmt w:val="bullet"/>
      <w:lvlText w:val="o"/>
      <w:lvlJc w:val="left"/>
      <w:pPr>
        <w:ind w:left="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F2C40838">
      <w:start w:val="1"/>
      <w:numFmt w:val="bullet"/>
      <w:lvlText w:val="▪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CAEA28D6">
      <w:start w:val="1"/>
      <w:numFmt w:val="bullet"/>
      <w:lvlRestart w:val="0"/>
      <w:lvlText w:val="•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02408BAE">
      <w:start w:val="1"/>
      <w:numFmt w:val="bullet"/>
      <w:lvlText w:val="o"/>
      <w:lvlJc w:val="left"/>
      <w:pPr>
        <w:ind w:left="1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333A9E9A">
      <w:start w:val="1"/>
      <w:numFmt w:val="bullet"/>
      <w:lvlText w:val="▪"/>
      <w:lvlJc w:val="left"/>
      <w:pPr>
        <w:ind w:left="2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024ECBF6">
      <w:start w:val="1"/>
      <w:numFmt w:val="bullet"/>
      <w:lvlText w:val="•"/>
      <w:lvlJc w:val="left"/>
      <w:pPr>
        <w:ind w:left="2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45DA1874">
      <w:start w:val="1"/>
      <w:numFmt w:val="bullet"/>
      <w:lvlText w:val="o"/>
      <w:lvlJc w:val="left"/>
      <w:pPr>
        <w:ind w:left="3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5F8ABE1E">
      <w:start w:val="1"/>
      <w:numFmt w:val="bullet"/>
      <w:lvlText w:val="▪"/>
      <w:lvlJc w:val="left"/>
      <w:pPr>
        <w:ind w:left="4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9"/>
  </w:num>
  <w:num w:numId="2">
    <w:abstractNumId w:val="8"/>
  </w:num>
  <w:num w:numId="3">
    <w:abstractNumId w:val="2"/>
  </w:num>
  <w:num w:numId="4">
    <w:abstractNumId w:val="26"/>
  </w:num>
  <w:num w:numId="5">
    <w:abstractNumId w:val="11"/>
  </w:num>
  <w:num w:numId="6">
    <w:abstractNumId w:val="12"/>
  </w:num>
  <w:num w:numId="7">
    <w:abstractNumId w:val="20"/>
  </w:num>
  <w:num w:numId="8">
    <w:abstractNumId w:val="6"/>
  </w:num>
  <w:num w:numId="9">
    <w:abstractNumId w:val="32"/>
  </w:num>
  <w:num w:numId="10">
    <w:abstractNumId w:val="0"/>
  </w:num>
  <w:num w:numId="11">
    <w:abstractNumId w:val="14"/>
  </w:num>
  <w:num w:numId="12">
    <w:abstractNumId w:val="9"/>
  </w:num>
  <w:num w:numId="13">
    <w:abstractNumId w:val="17"/>
  </w:num>
  <w:num w:numId="14">
    <w:abstractNumId w:val="13"/>
  </w:num>
  <w:num w:numId="15">
    <w:abstractNumId w:val="16"/>
  </w:num>
  <w:num w:numId="16">
    <w:abstractNumId w:val="31"/>
  </w:num>
  <w:num w:numId="17">
    <w:abstractNumId w:val="15"/>
  </w:num>
  <w:num w:numId="18">
    <w:abstractNumId w:val="1"/>
  </w:num>
  <w:num w:numId="19">
    <w:abstractNumId w:val="30"/>
  </w:num>
  <w:num w:numId="20">
    <w:abstractNumId w:val="5"/>
  </w:num>
  <w:num w:numId="21">
    <w:abstractNumId w:val="22"/>
  </w:num>
  <w:num w:numId="22">
    <w:abstractNumId w:val="23"/>
  </w:num>
  <w:num w:numId="23">
    <w:abstractNumId w:val="7"/>
  </w:num>
  <w:num w:numId="24">
    <w:abstractNumId w:val="18"/>
  </w:num>
  <w:num w:numId="25">
    <w:abstractNumId w:val="28"/>
  </w:num>
  <w:num w:numId="26">
    <w:abstractNumId w:val="21"/>
  </w:num>
  <w:num w:numId="27">
    <w:abstractNumId w:val="3"/>
  </w:num>
  <w:num w:numId="28">
    <w:abstractNumId w:val="4"/>
  </w:num>
  <w:num w:numId="29">
    <w:abstractNumId w:val="27"/>
  </w:num>
  <w:num w:numId="30">
    <w:abstractNumId w:val="19"/>
  </w:num>
  <w:num w:numId="31">
    <w:abstractNumId w:val="10"/>
  </w:num>
  <w:num w:numId="32">
    <w:abstractNumId w:val="24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F8"/>
    <w:rsid w:val="0007268A"/>
    <w:rsid w:val="00135D5B"/>
    <w:rsid w:val="001D5FBF"/>
    <w:rsid w:val="00217BB8"/>
    <w:rsid w:val="00262048"/>
    <w:rsid w:val="002B12F1"/>
    <w:rsid w:val="002C3CC1"/>
    <w:rsid w:val="00322E97"/>
    <w:rsid w:val="00371001"/>
    <w:rsid w:val="003C7987"/>
    <w:rsid w:val="003D7524"/>
    <w:rsid w:val="0048700B"/>
    <w:rsid w:val="00583789"/>
    <w:rsid w:val="005A2DF3"/>
    <w:rsid w:val="005A5C5A"/>
    <w:rsid w:val="005D5D4A"/>
    <w:rsid w:val="00611EA9"/>
    <w:rsid w:val="0061508F"/>
    <w:rsid w:val="00643D0F"/>
    <w:rsid w:val="006B09ED"/>
    <w:rsid w:val="006D62A7"/>
    <w:rsid w:val="006E60A8"/>
    <w:rsid w:val="007215CD"/>
    <w:rsid w:val="007A3A6C"/>
    <w:rsid w:val="007F5049"/>
    <w:rsid w:val="008170C6"/>
    <w:rsid w:val="008254EB"/>
    <w:rsid w:val="00922B12"/>
    <w:rsid w:val="009311FD"/>
    <w:rsid w:val="00971829"/>
    <w:rsid w:val="00990CC8"/>
    <w:rsid w:val="009F5779"/>
    <w:rsid w:val="00A0610D"/>
    <w:rsid w:val="00A24FBE"/>
    <w:rsid w:val="00A44B5C"/>
    <w:rsid w:val="00A614D6"/>
    <w:rsid w:val="00AC20D0"/>
    <w:rsid w:val="00AE4A1C"/>
    <w:rsid w:val="00B038F1"/>
    <w:rsid w:val="00B12054"/>
    <w:rsid w:val="00B95615"/>
    <w:rsid w:val="00BE233D"/>
    <w:rsid w:val="00C72647"/>
    <w:rsid w:val="00C82A22"/>
    <w:rsid w:val="00CE5558"/>
    <w:rsid w:val="00D14D09"/>
    <w:rsid w:val="00D52012"/>
    <w:rsid w:val="00D86AD0"/>
    <w:rsid w:val="00D94561"/>
    <w:rsid w:val="00DA41ED"/>
    <w:rsid w:val="00DB76DB"/>
    <w:rsid w:val="00E86936"/>
    <w:rsid w:val="00EA23F8"/>
    <w:rsid w:val="00F12538"/>
    <w:rsid w:val="00F80C75"/>
    <w:rsid w:val="00FC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E0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7" w:line="227" w:lineRule="auto"/>
      <w:ind w:left="3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5" w:lineRule="auto"/>
      <w:ind w:left="744" w:hanging="10"/>
      <w:outlineLvl w:val="0"/>
    </w:pPr>
    <w:rPr>
      <w:rFonts w:ascii="Times New Roman" w:eastAsia="Times New Roman" w:hAnsi="Times New Roman" w:cs="Times New Roman"/>
      <w:color w:val="000000"/>
      <w:sz w:val="5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5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23" w:lineRule="auto"/>
      <w:ind w:right="288" w:firstLine="7"/>
    </w:pPr>
    <w:rPr>
      <w:rFonts w:ascii="Times New Roman" w:eastAsia="Times New Roman" w:hAnsi="Times New Roman" w:cs="Times New Roman"/>
      <w:color w:val="00000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List Paragraph"/>
    <w:basedOn w:val="a"/>
    <w:uiPriority w:val="34"/>
    <w:qFormat/>
    <w:rsid w:val="00922B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6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6AD0"/>
    <w:rPr>
      <w:rFonts w:ascii="Times New Roman" w:eastAsia="Times New Roman" w:hAnsi="Times New Roman" w:cs="Times New Roman"/>
      <w:color w:val="000000"/>
      <w:sz w:val="24"/>
    </w:rPr>
  </w:style>
  <w:style w:type="character" w:styleId="a6">
    <w:name w:val="Placeholder Text"/>
    <w:basedOn w:val="a0"/>
    <w:uiPriority w:val="99"/>
    <w:semiHidden/>
    <w:rsid w:val="002C3CC1"/>
    <w:rPr>
      <w:color w:val="808080"/>
    </w:rPr>
  </w:style>
  <w:style w:type="paragraph" w:styleId="a7">
    <w:name w:val="footer"/>
    <w:basedOn w:val="a"/>
    <w:link w:val="a8"/>
    <w:uiPriority w:val="99"/>
    <w:unhideWhenUsed/>
    <w:rsid w:val="00931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11FD"/>
    <w:rPr>
      <w:rFonts w:ascii="Times New Roman" w:eastAsia="Times New Roman" w:hAnsi="Times New Roman" w:cs="Times New Roman"/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58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3789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7" w:line="227" w:lineRule="auto"/>
      <w:ind w:left="3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5" w:lineRule="auto"/>
      <w:ind w:left="744" w:hanging="10"/>
      <w:outlineLvl w:val="0"/>
    </w:pPr>
    <w:rPr>
      <w:rFonts w:ascii="Times New Roman" w:eastAsia="Times New Roman" w:hAnsi="Times New Roman" w:cs="Times New Roman"/>
      <w:color w:val="000000"/>
      <w:sz w:val="5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5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23" w:lineRule="auto"/>
      <w:ind w:right="288" w:firstLine="7"/>
    </w:pPr>
    <w:rPr>
      <w:rFonts w:ascii="Times New Roman" w:eastAsia="Times New Roman" w:hAnsi="Times New Roman" w:cs="Times New Roman"/>
      <w:color w:val="00000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List Paragraph"/>
    <w:basedOn w:val="a"/>
    <w:uiPriority w:val="34"/>
    <w:qFormat/>
    <w:rsid w:val="00922B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6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6AD0"/>
    <w:rPr>
      <w:rFonts w:ascii="Times New Roman" w:eastAsia="Times New Roman" w:hAnsi="Times New Roman" w:cs="Times New Roman"/>
      <w:color w:val="000000"/>
      <w:sz w:val="24"/>
    </w:rPr>
  </w:style>
  <w:style w:type="character" w:styleId="a6">
    <w:name w:val="Placeholder Text"/>
    <w:basedOn w:val="a0"/>
    <w:uiPriority w:val="99"/>
    <w:semiHidden/>
    <w:rsid w:val="002C3CC1"/>
    <w:rPr>
      <w:color w:val="808080"/>
    </w:rPr>
  </w:style>
  <w:style w:type="paragraph" w:styleId="a7">
    <w:name w:val="footer"/>
    <w:basedOn w:val="a"/>
    <w:link w:val="a8"/>
    <w:uiPriority w:val="99"/>
    <w:unhideWhenUsed/>
    <w:rsid w:val="00931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11FD"/>
    <w:rPr>
      <w:rFonts w:ascii="Times New Roman" w:eastAsia="Times New Roman" w:hAnsi="Times New Roman" w:cs="Times New Roman"/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58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378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0E0F4-1DAE-4577-AB51-BE29AE7D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 Ли</cp:lastModifiedBy>
  <cp:revision>15</cp:revision>
  <dcterms:created xsi:type="dcterms:W3CDTF">2017-03-22T15:13:00Z</dcterms:created>
  <dcterms:modified xsi:type="dcterms:W3CDTF">2021-04-02T07:57:00Z</dcterms:modified>
</cp:coreProperties>
</file>